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9"/>
        <w:spacing w:line="240" w:lineRule="auto"/>
      </w:pPr>
      <w: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 xml:space="preserve">Перечень документов, используемых при выполнении органом инспекции работ по оценке соответствия:</w:t>
      </w:r>
      <w:r/>
    </w:p>
    <w:p>
      <w:pPr>
        <w:pStyle w:val="829"/>
        <w:spacing w:before="0" w:after="0" w:line="240" w:lineRule="auto"/>
        <w:rPr>
          <w:rFonts w:ascii="Times New Roman" w:hAnsi="Times New Roman" w:cs="Times New Roman"/>
          <w:spacing w:val="-4"/>
          <w:sz w:val="24"/>
          <w:szCs w:val="24"/>
          <w:highlight w:val="none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Федеральный закон от 30.03.1999г. 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№ 52-ФЗ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«О санитарно-эпидемиологическом благополучии населения» (с редакцией от 23.06.2014 г.).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pacing w:val="-4"/>
          <w:sz w:val="24"/>
          <w:szCs w:val="24"/>
          <w:highlight w:val="none"/>
        </w:rPr>
      </w:pP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Федеральный закон  «Технический регламент о безопасности зданий и сооружений» от 30 декабря 2009 г.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  <w:highlight w:val="none"/>
        </w:rPr>
        <w:t xml:space="preserve">№ 384-ФЗ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 (в ред. Федерального закона от 02.07.2013 № 185-ФЗ).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pacing w:val="-4"/>
          <w:sz w:val="24"/>
          <w:szCs w:val="24"/>
          <w:highlight w:val="none"/>
        </w:rPr>
      </w:pP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Федеральный закон от 11.07.2011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  <w:highlight w:val="none"/>
        </w:rPr>
        <w:t xml:space="preserve">№ 190-ФЗ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 Об обращении с радиоактивными отходами и о внесении изменений в отдельные законодательные акты Российской Федерации.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pacing w:val="-4"/>
          <w:sz w:val="24"/>
          <w:szCs w:val="24"/>
          <w:highlight w:val="none"/>
        </w:rPr>
      </w:pP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Федеральный закон «Градостроительный кодекс Российской Федерации» от 29 декабря 2004 г.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  <w:highlight w:val="none"/>
        </w:rPr>
        <w:t xml:space="preserve">№ 190-ФЗ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pacing w:val="-4"/>
          <w:sz w:val="24"/>
          <w:szCs w:val="24"/>
          <w:highlight w:val="none"/>
        </w:rPr>
      </w:pP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Федеральный закон от 25.10.2001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  <w:highlight w:val="none"/>
        </w:rPr>
        <w:t xml:space="preserve">№ 136-ФЗ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 Земельный кодекс Российской Федерации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pacing w:val="-4"/>
          <w:sz w:val="24"/>
          <w:szCs w:val="24"/>
          <w:highlight w:val="none"/>
        </w:rPr>
      </w:pP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Приказ Минздрава СССР от 13.12.1989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  <w:highlight w:val="none"/>
        </w:rPr>
        <w:t xml:space="preserve">N 654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 О совершенствовании системы учёта отдельных инфекционных и паразитарных заболеваний.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pacing w:val="-4"/>
          <w:sz w:val="24"/>
          <w:szCs w:val="24"/>
          <w:highlight w:val="none"/>
        </w:rPr>
      </w:pP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Постановление Правительства РФ от 03.03.2018 №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  <w:highlight w:val="none"/>
        </w:rPr>
        <w:t xml:space="preserve">222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 Об  утверждении Правил установления санитарно-защитных зон и использования земельных участков, расположенных в границах 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санитарно-защитных зон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pacing w:val="-4"/>
          <w:sz w:val="24"/>
          <w:szCs w:val="24"/>
          <w:highlight w:val="none"/>
        </w:rPr>
      </w:pP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Постановление Правительства Российской Федерации от 17 июня 2025 г.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  <w:highlight w:val="none"/>
        </w:rPr>
        <w:t xml:space="preserve">№ 903 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"Об утверждении технического регламента о безопасности объектов внутреннего водного транспорта"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pacing w:val="-4"/>
          <w:sz w:val="24"/>
          <w:szCs w:val="24"/>
          <w:highlight w:val="none"/>
        </w:rPr>
      </w:pP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Постановление Правительства РФ от 02.12.2017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  <w:highlight w:val="none"/>
        </w:rPr>
        <w:t xml:space="preserve">№ 1460 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«Об утверждении Правил установления приаэродромной территории, Правил выделения на приаэродромной территории подзон и Правил разрешения разногласий, исполнительными органами государственной власти субъекто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в Российской Федерации и уполномоченными Правительством Российской Федерации федеральными органами исполнительной власти при согласовании проекта решения об установлении приаэродромной 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территории»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pacing w:val="-4"/>
          <w:sz w:val="24"/>
          <w:szCs w:val="24"/>
          <w:highlight w:val="none"/>
        </w:rPr>
      </w:pP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Постановление Правительства РФ от 22.11.2000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  <w:highlight w:val="none"/>
        </w:rPr>
        <w:t xml:space="preserve">№ 883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 Об организации и проведении мониторинга качества,безопасности пищевых продуктов и здоровья населения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pacing w:val="-4"/>
          <w:sz w:val="24"/>
          <w:szCs w:val="24"/>
          <w:highlight w:val="none"/>
        </w:rPr>
      </w:pP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Постановление Правительства РФ от21.12.2000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  <w:highlight w:val="none"/>
        </w:rPr>
        <w:t xml:space="preserve">№ 987 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О государственном надзоре в области обеспечения качества и безопасности пищевых продуктов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pacing w:val="-4"/>
          <w:sz w:val="24"/>
          <w:szCs w:val="24"/>
          <w:highlight w:val="none"/>
        </w:rPr>
      </w:pP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Постановление Главного государственного санитарного врача Российской Федерации от 29.08.2006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  <w:highlight w:val="none"/>
        </w:rPr>
        <w:t xml:space="preserve">№ 28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 Об усилении надзора за производством и оборотом пищевых продуктов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  <w:r>
        <w:rPr>
          <w:rFonts w:ascii="Times New Roman" w:hAnsi="Times New Roman" w:cs="Times New Roman"/>
          <w:spacing w:val="-4"/>
          <w:sz w:val="24"/>
          <w:szCs w:val="24"/>
          <w:highlight w:val="none"/>
        </w:rPr>
      </w:r>
    </w:p>
    <w:p>
      <w:pPr>
        <w:pStyle w:val="829"/>
        <w:spacing w:before="0" w:after="0" w:line="240" w:lineRule="auto"/>
      </w:pPr>
      <w:r>
        <w:rPr>
          <w:rFonts w:ascii="Times New Roman" w:hAnsi="Times New Roman" w:cs="Times New Roman"/>
          <w:bCs/>
          <w:sz w:val="24"/>
          <w:szCs w:val="24"/>
        </w:rPr>
        <w:t xml:space="preserve">Соглашение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Таможенного союза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 санитарным мерам от 11 декабря 2009г в целях реализации Решения </w:t>
      </w:r>
      <w:r>
        <w:rPr>
          <w:rFonts w:ascii="Times New Roman" w:hAnsi="Times New Roman" w:cs="Times New Roman"/>
          <w:sz w:val="24"/>
          <w:szCs w:val="24"/>
        </w:rPr>
        <w:t xml:space="preserve">Межгосударственного Совета Евразийского экономического сообщества</w:t>
      </w:r>
      <w:r>
        <w:rPr>
          <w:rFonts w:ascii="Times New Roman" w:hAnsi="Times New Roman" w:cs="Times New Roman"/>
          <w:bCs/>
          <w:sz w:val="24"/>
          <w:szCs w:val="24"/>
        </w:rPr>
        <w:t xml:space="preserve">  (Высшего Органа Таможенного союза) на уровне глав правительств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№28</w:t>
      </w:r>
      <w:r>
        <w:rPr>
          <w:rFonts w:ascii="Times New Roman" w:hAnsi="Times New Roman" w:cs="Times New Roman"/>
          <w:bCs/>
          <w:sz w:val="24"/>
          <w:szCs w:val="24"/>
        </w:rPr>
        <w:t xml:space="preserve"> (в редакции Протокола от 21.05.2010г.).</w:t>
      </w:r>
      <w:r/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Технически регламент </w:t>
      </w:r>
      <w:r>
        <w:rPr>
          <w:rFonts w:ascii="Times New Roman" w:hAnsi="Times New Roman" w:cs="Times New Roman"/>
          <w:b/>
          <w:sz w:val="24"/>
          <w:szCs w:val="24"/>
        </w:rPr>
        <w:t xml:space="preserve">Таможенного союза</w:t>
      </w:r>
      <w:r>
        <w:rPr>
          <w:rFonts w:ascii="Times New Roman" w:hAnsi="Times New Roman" w:cs="Times New Roman"/>
          <w:sz w:val="24"/>
          <w:szCs w:val="24"/>
        </w:rPr>
        <w:t xml:space="preserve"> (далее – </w:t>
      </w:r>
      <w:r>
        <w:rPr>
          <w:rFonts w:ascii="Times New Roman" w:hAnsi="Times New Roman" w:cs="Times New Roman"/>
          <w:b/>
          <w:sz w:val="24"/>
          <w:szCs w:val="24"/>
        </w:rPr>
        <w:t xml:space="preserve">ТР ТС</w:t>
      </w:r>
      <w:r>
        <w:rPr>
          <w:rFonts w:ascii="Times New Roman" w:hAnsi="Times New Roman" w:cs="Times New Roman"/>
          <w:sz w:val="24"/>
          <w:szCs w:val="24"/>
        </w:rPr>
        <w:t xml:space="preserve">) «О безопасности пищевой продукции» </w:t>
      </w:r>
      <w:r>
        <w:rPr>
          <w:rFonts w:ascii="Times New Roman" w:hAnsi="Times New Roman" w:cs="Times New Roman"/>
          <w:b/>
          <w:sz w:val="24"/>
          <w:szCs w:val="24"/>
        </w:rPr>
        <w:t xml:space="preserve">021/2011</w:t>
      </w:r>
      <w:r>
        <w:rPr>
          <w:rFonts w:ascii="Times New Roman" w:hAnsi="Times New Roman" w:cs="Times New Roman"/>
          <w:sz w:val="24"/>
          <w:szCs w:val="24"/>
        </w:rPr>
        <w:t xml:space="preserve"> утвержден решением комиссии  Таможенного союза от 09.12.2011 г. </w:t>
      </w:r>
      <w:r>
        <w:rPr>
          <w:rFonts w:ascii="Times New Roman" w:hAnsi="Times New Roman" w:cs="Times New Roman"/>
          <w:bCs/>
          <w:sz w:val="24"/>
          <w:szCs w:val="24"/>
        </w:rPr>
        <w:t xml:space="preserve">№ 880.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 ТС</w:t>
      </w:r>
      <w:r>
        <w:rPr>
          <w:rFonts w:ascii="Times New Roman" w:hAnsi="Times New Roman" w:cs="Times New Roman"/>
          <w:sz w:val="24"/>
          <w:szCs w:val="24"/>
        </w:rPr>
        <w:t xml:space="preserve"> «О безопасности игрушек» </w:t>
      </w:r>
      <w:r>
        <w:rPr>
          <w:rFonts w:ascii="Times New Roman" w:hAnsi="Times New Roman" w:cs="Times New Roman"/>
          <w:b/>
          <w:sz w:val="24"/>
          <w:szCs w:val="24"/>
        </w:rPr>
        <w:t xml:space="preserve">008/2011</w:t>
      </w:r>
      <w:r>
        <w:rPr>
          <w:rFonts w:ascii="Times New Roman" w:hAnsi="Times New Roman" w:cs="Times New Roman"/>
          <w:sz w:val="24"/>
          <w:szCs w:val="24"/>
        </w:rPr>
        <w:t xml:space="preserve">  утвержден решением комиссии  Таможенного союза от 23.09.2011 г. </w:t>
      </w:r>
      <w:r>
        <w:rPr>
          <w:rFonts w:ascii="Times New Roman" w:hAnsi="Times New Roman" w:cs="Times New Roman"/>
          <w:bCs/>
          <w:sz w:val="24"/>
          <w:szCs w:val="24"/>
        </w:rPr>
        <w:t xml:space="preserve">№ 798.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 ТС</w:t>
      </w:r>
      <w:r>
        <w:rPr>
          <w:rFonts w:ascii="Times New Roman" w:hAnsi="Times New Roman" w:cs="Times New Roman"/>
          <w:sz w:val="24"/>
          <w:szCs w:val="24"/>
        </w:rPr>
        <w:t xml:space="preserve"> «О безопасности парфюмерно-косметической продукции» </w:t>
      </w:r>
      <w:r>
        <w:rPr>
          <w:rFonts w:ascii="Times New Roman" w:hAnsi="Times New Roman" w:cs="Times New Roman"/>
          <w:b/>
          <w:sz w:val="24"/>
          <w:szCs w:val="24"/>
        </w:rPr>
        <w:t xml:space="preserve">009/2011</w:t>
      </w:r>
      <w:r>
        <w:rPr>
          <w:rFonts w:ascii="Times New Roman" w:hAnsi="Times New Roman" w:cs="Times New Roman"/>
          <w:sz w:val="24"/>
          <w:szCs w:val="24"/>
        </w:rPr>
        <w:t xml:space="preserve">  утвержден решением комиссии  Таможенного союза от 23.09.2011 г. </w:t>
      </w:r>
      <w:r>
        <w:rPr>
          <w:rFonts w:ascii="Times New Roman" w:hAnsi="Times New Roman" w:cs="Times New Roman"/>
          <w:bCs/>
          <w:sz w:val="24"/>
          <w:szCs w:val="24"/>
        </w:rPr>
        <w:t xml:space="preserve">№ 799.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 ТС</w:t>
      </w:r>
      <w:r>
        <w:rPr>
          <w:rFonts w:ascii="Times New Roman" w:hAnsi="Times New Roman" w:cs="Times New Roman"/>
          <w:sz w:val="24"/>
          <w:szCs w:val="24"/>
        </w:rPr>
        <w:t xml:space="preserve"> «О безопасности продукции, предназначенной для детей и подростков» </w:t>
      </w:r>
      <w:r>
        <w:rPr>
          <w:rFonts w:ascii="Times New Roman" w:hAnsi="Times New Roman" w:cs="Times New Roman"/>
          <w:b/>
          <w:sz w:val="24"/>
          <w:szCs w:val="24"/>
        </w:rPr>
        <w:t xml:space="preserve">007/2011</w:t>
      </w:r>
      <w:r>
        <w:rPr>
          <w:rFonts w:ascii="Times New Roman" w:hAnsi="Times New Roman" w:cs="Times New Roman"/>
          <w:sz w:val="24"/>
          <w:szCs w:val="24"/>
        </w:rPr>
        <w:t xml:space="preserve"> утвержден решением комиссии  Таможенного союза от 23.09.2011 г. </w:t>
      </w:r>
      <w:r>
        <w:rPr>
          <w:rFonts w:ascii="Times New Roman" w:hAnsi="Times New Roman" w:cs="Times New Roman"/>
          <w:bCs/>
          <w:sz w:val="24"/>
          <w:szCs w:val="24"/>
        </w:rPr>
        <w:t xml:space="preserve">№ 797.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 ТС</w:t>
      </w:r>
      <w:r>
        <w:rPr>
          <w:rFonts w:ascii="Times New Roman" w:hAnsi="Times New Roman" w:cs="Times New Roman"/>
          <w:sz w:val="24"/>
          <w:szCs w:val="24"/>
        </w:rPr>
        <w:t xml:space="preserve"> «О безопасности продукции легкой промышленности» 017/2011 утвержден решением комиссии  Таможенного союза от 09.12.2011 г. </w:t>
      </w:r>
      <w:r>
        <w:rPr>
          <w:rFonts w:ascii="Times New Roman" w:hAnsi="Times New Roman" w:cs="Times New Roman"/>
          <w:bCs/>
          <w:sz w:val="24"/>
          <w:szCs w:val="24"/>
        </w:rPr>
        <w:t xml:space="preserve">№ 876.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 ТС</w:t>
      </w:r>
      <w:r>
        <w:rPr>
          <w:rFonts w:ascii="Times New Roman" w:hAnsi="Times New Roman" w:cs="Times New Roman"/>
          <w:sz w:val="24"/>
          <w:szCs w:val="24"/>
        </w:rPr>
        <w:t xml:space="preserve"> «О безопасности машин и оборудования» (в отношении ряда продукции) 010/2011 утвержден решением комиссии  Таможенного союза от 18.10.2011 г. </w:t>
      </w:r>
      <w:r>
        <w:rPr>
          <w:rFonts w:ascii="Times New Roman" w:hAnsi="Times New Roman" w:cs="Times New Roman"/>
          <w:bCs/>
          <w:sz w:val="24"/>
          <w:szCs w:val="24"/>
        </w:rPr>
        <w:t xml:space="preserve">№ 823.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 ТС</w:t>
      </w:r>
      <w:r>
        <w:rPr>
          <w:rFonts w:ascii="Times New Roman" w:hAnsi="Times New Roman" w:cs="Times New Roman"/>
          <w:sz w:val="24"/>
          <w:szCs w:val="24"/>
        </w:rPr>
        <w:t xml:space="preserve"> “О безопасности средств индивидуальной защиты» 019/2011 утвержден решением комиссии  Таможенного союза от 09.12.2011 г. </w:t>
      </w:r>
      <w:r>
        <w:rPr>
          <w:rFonts w:ascii="Times New Roman" w:hAnsi="Times New Roman" w:cs="Times New Roman"/>
          <w:bCs/>
          <w:sz w:val="24"/>
          <w:szCs w:val="24"/>
        </w:rPr>
        <w:t xml:space="preserve">№ 878.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 ТС</w:t>
      </w:r>
      <w:r>
        <w:rPr>
          <w:rFonts w:ascii="Times New Roman" w:hAnsi="Times New Roman" w:cs="Times New Roman"/>
          <w:sz w:val="24"/>
          <w:szCs w:val="24"/>
        </w:rPr>
        <w:t xml:space="preserve"> “О безопасности низковольтного оборудования» 004/2011 утвержден решением комиссии  Таможенного союза от 16.08.2011 г. </w:t>
      </w:r>
      <w:r>
        <w:rPr>
          <w:rFonts w:ascii="Times New Roman" w:hAnsi="Times New Roman" w:cs="Times New Roman"/>
          <w:bCs/>
          <w:sz w:val="24"/>
          <w:szCs w:val="24"/>
        </w:rPr>
        <w:t xml:space="preserve">№ 768.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 ТС</w:t>
      </w:r>
      <w:r>
        <w:rPr>
          <w:rFonts w:ascii="Times New Roman" w:hAnsi="Times New Roman" w:cs="Times New Roman"/>
          <w:sz w:val="24"/>
          <w:szCs w:val="24"/>
        </w:rPr>
        <w:t xml:space="preserve"> «О безопасности мебельной продукции» 025/2012 утвержден решением комиссии  Таможенного союза от 15.06.2012 г. </w:t>
      </w:r>
      <w:r>
        <w:rPr>
          <w:rFonts w:ascii="Times New Roman" w:hAnsi="Times New Roman" w:cs="Times New Roman"/>
          <w:bCs/>
          <w:sz w:val="24"/>
          <w:szCs w:val="24"/>
        </w:rPr>
        <w:t xml:space="preserve">№ 32.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 ТС</w:t>
      </w:r>
      <w:r>
        <w:rPr>
          <w:rFonts w:ascii="Times New Roman" w:hAnsi="Times New Roman" w:cs="Times New Roman"/>
          <w:sz w:val="24"/>
          <w:szCs w:val="24"/>
        </w:rPr>
        <w:t xml:space="preserve"> «О безопасности зерна» 015/2011 утвержден решением комиссии  Таможенного союза от 09.12.2011 г. </w:t>
      </w:r>
      <w:r>
        <w:rPr>
          <w:rFonts w:ascii="Times New Roman" w:hAnsi="Times New Roman" w:cs="Times New Roman"/>
          <w:bCs/>
          <w:sz w:val="24"/>
          <w:szCs w:val="24"/>
        </w:rPr>
        <w:t xml:space="preserve">№ 874.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 ТС</w:t>
      </w:r>
      <w:r>
        <w:rPr>
          <w:rFonts w:ascii="Times New Roman" w:hAnsi="Times New Roman" w:cs="Times New Roman"/>
          <w:sz w:val="24"/>
          <w:szCs w:val="24"/>
        </w:rPr>
        <w:t xml:space="preserve"> «Технический регламент на масложировую продукцию» 024/2011 утвержден решением комиссии  Таможенного союза от 09.12.2011 г. </w:t>
      </w:r>
      <w:r>
        <w:rPr>
          <w:rFonts w:ascii="Times New Roman" w:hAnsi="Times New Roman" w:cs="Times New Roman"/>
          <w:bCs/>
          <w:sz w:val="24"/>
          <w:szCs w:val="24"/>
        </w:rPr>
        <w:t xml:space="preserve">№ 883.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 ТС</w:t>
      </w:r>
      <w:r>
        <w:rPr>
          <w:rFonts w:ascii="Times New Roman" w:hAnsi="Times New Roman" w:cs="Times New Roman"/>
          <w:sz w:val="24"/>
          <w:szCs w:val="24"/>
        </w:rPr>
        <w:t xml:space="preserve"> «Пищевая продукция в части ее маркировки» 022/2011 утвержден решением комиссии  Таможенного союза от 09.12.2011 г. </w:t>
      </w:r>
      <w:r>
        <w:rPr>
          <w:rFonts w:ascii="Times New Roman" w:hAnsi="Times New Roman" w:cs="Times New Roman"/>
          <w:bCs/>
          <w:sz w:val="24"/>
          <w:szCs w:val="24"/>
        </w:rPr>
        <w:t xml:space="preserve">№ 881.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 ТС</w:t>
      </w:r>
      <w:r>
        <w:rPr>
          <w:rFonts w:ascii="Times New Roman" w:hAnsi="Times New Roman" w:cs="Times New Roman"/>
          <w:sz w:val="24"/>
          <w:szCs w:val="24"/>
        </w:rPr>
        <w:t xml:space="preserve"> «Технический регламент на соковую продукцию из фруктов и овощей» 023/2011 утвержден решением комиссии  Таможенного союза от 09.12.2011 г. </w:t>
      </w:r>
      <w:r>
        <w:rPr>
          <w:rFonts w:ascii="Times New Roman" w:hAnsi="Times New Roman" w:cs="Times New Roman"/>
          <w:bCs/>
          <w:sz w:val="24"/>
          <w:szCs w:val="24"/>
        </w:rPr>
        <w:t xml:space="preserve">№ 882.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 ТС</w:t>
      </w:r>
      <w:r>
        <w:rPr>
          <w:rFonts w:ascii="Times New Roman" w:hAnsi="Times New Roman" w:cs="Times New Roman"/>
          <w:sz w:val="24"/>
          <w:szCs w:val="24"/>
        </w:rPr>
        <w:t xml:space="preserve"> «О безопасности отдельных видов специализированной пищевой продукции, в т.ч. диетического лечебного и диетического профилактического питания» 027/2012 утвержден решением комиссии  Таможенного союза от 15.06.2012 г. </w:t>
      </w:r>
      <w:r>
        <w:rPr>
          <w:rFonts w:ascii="Times New Roman" w:hAnsi="Times New Roman" w:cs="Times New Roman"/>
          <w:bCs/>
          <w:sz w:val="24"/>
          <w:szCs w:val="24"/>
        </w:rPr>
        <w:t xml:space="preserve">№ 34.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 ТС</w:t>
      </w:r>
      <w:r>
        <w:rPr>
          <w:rFonts w:ascii="Times New Roman" w:hAnsi="Times New Roman" w:cs="Times New Roman"/>
          <w:sz w:val="24"/>
          <w:szCs w:val="24"/>
        </w:rPr>
        <w:t xml:space="preserve"> «Требования безопасности пищевых добавок, ароматизаторов и технологических вспомогательных средств» 029/2012 утвержден решением комиссии  Таможенного союза от 20.07.2012 г. </w:t>
      </w:r>
      <w:r>
        <w:rPr>
          <w:rFonts w:ascii="Times New Roman" w:hAnsi="Times New Roman" w:cs="Times New Roman"/>
          <w:bCs/>
          <w:sz w:val="24"/>
          <w:szCs w:val="24"/>
        </w:rPr>
        <w:t xml:space="preserve">№ 358.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 ТС</w:t>
      </w:r>
      <w:r>
        <w:rPr>
          <w:rFonts w:ascii="Times New Roman" w:hAnsi="Times New Roman" w:cs="Times New Roman"/>
          <w:sz w:val="24"/>
          <w:szCs w:val="24"/>
        </w:rPr>
        <w:t xml:space="preserve"> «О безопасности молока и молочной продукции» 033/2013 утвержден решением комиссии  Таможенного союза от 09.10.2013 г. </w:t>
      </w:r>
      <w:r>
        <w:rPr>
          <w:rFonts w:ascii="Times New Roman" w:hAnsi="Times New Roman" w:cs="Times New Roman"/>
          <w:bCs/>
          <w:sz w:val="24"/>
          <w:szCs w:val="24"/>
        </w:rPr>
        <w:t xml:space="preserve">№ 67.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 ТС</w:t>
      </w:r>
      <w:r>
        <w:rPr>
          <w:rFonts w:ascii="Times New Roman" w:hAnsi="Times New Roman" w:cs="Times New Roman"/>
          <w:sz w:val="24"/>
          <w:szCs w:val="24"/>
        </w:rPr>
        <w:t xml:space="preserve"> «О безопасности мяса и мясной продукции» 034/2013 утвержден решением комиссии  Таможенного союза от 09.10.2013 г. </w:t>
      </w:r>
      <w:r>
        <w:rPr>
          <w:rFonts w:ascii="Times New Roman" w:hAnsi="Times New Roman" w:cs="Times New Roman"/>
          <w:bCs/>
          <w:sz w:val="24"/>
          <w:szCs w:val="24"/>
        </w:rPr>
        <w:t xml:space="preserve">№ 68.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ТР ТС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«О безопасности упаковки» 005/2011 утвержден решением комиссии  Таможенного союза от 16.08.2011 г. </w:t>
      </w:r>
      <w:r>
        <w:rPr>
          <w:rFonts w:ascii="Times New Roman" w:hAnsi="Times New Roman" w:cs="Times New Roman"/>
          <w:bCs/>
          <w:sz w:val="24"/>
          <w:szCs w:val="24"/>
        </w:rPr>
        <w:t xml:space="preserve">№ 769.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</w:pPr>
      <w:r>
        <w:rPr>
          <w:rFonts w:ascii="Times New Roman" w:hAnsi="Times New Roman" w:cs="Times New Roman"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ТР ЕАЭС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  «О безопасности рыбы и рыбной продукции» 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040/2016 утвержден р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ешением Совета 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Евразийской экономической комиссии 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от 18 октября 2016 г. N 162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</w:r>
      <w:r/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ТР ТС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 «Технический регламент на табачную продукцию»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035/2014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 утвержден р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ешением Совета Евразийской экономической комиссии от 12 ноября 2014 г. N 107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ТР ЕАЭС 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"О безопасности упакованной питьевой воды, включая природную минеральную воду"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 044/2017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 утвержден р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ешением Совета 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Евразийской экономической комиссии 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от 23 июня 2017 г. N 45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ТР ЕАЭС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"О безопасности алкогольной продукции" 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047/2018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 утвержден р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ешением Совета 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Евразийской экономической комиссии 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от 05 декабря 2018 г. № 98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СанПиН 2.6.1.1281-03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"Санитарные правила по радиационной безопасности персонала и населения при транспортировании радиоактивных материалов (веществ)"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</w:r>
      <w:r/>
    </w:p>
    <w:p>
      <w:pPr>
        <w:pStyle w:val="854"/>
        <w:jc w:val="both"/>
        <w:spacing w:line="240" w:lineRule="auto"/>
        <w:tabs>
          <w:tab w:val="clear" w:pos="708" w:leader="none"/>
          <w:tab w:val="left" w:pos="1134" w:leader="none"/>
        </w:tabs>
      </w:pPr>
      <w:r>
        <w:rPr>
          <w:rFonts w:ascii="Times New Roman" w:hAnsi="Times New Roman" w:cs="Times New Roman"/>
          <w:b/>
          <w:sz w:val="24"/>
          <w:szCs w:val="24"/>
        </w:rPr>
        <w:t xml:space="preserve">СанПиН 2.2.1/2.1.1.2361-08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«Санитарно-защитные зоны и санитарная классификация предприятий, сооружений и иных объектов» (Новая редакция). Изменения 1 к СанПиН 2.2.1/2.1.1.1200-03.</w:t>
      </w:r>
      <w:r/>
    </w:p>
    <w:p>
      <w:pPr>
        <w:pStyle w:val="854"/>
        <w:jc w:val="both"/>
        <w:spacing w:line="240" w:lineRule="auto"/>
        <w:tabs>
          <w:tab w:val="clear" w:pos="708" w:leader="none"/>
          <w:tab w:val="left" w:pos="1134" w:leader="none"/>
        </w:tabs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СанПиН 2.2.1/2.1.1.2555-09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Санитарно-защитные зоны и санитарная классификация предприятий, сооружений и иных объектов» (Новая редакция). </w:t>
      </w:r>
      <w:r>
        <w:rPr>
          <w:rFonts w:ascii="Times New Roman" w:hAnsi="Times New Roman" w:cs="Times New Roman"/>
          <w:sz w:val="24"/>
          <w:szCs w:val="24"/>
        </w:rPr>
        <w:t xml:space="preserve">Изменение 2 к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СанПиН 2.2.1/2.1.1.1200-03.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54"/>
        <w:jc w:val="both"/>
        <w:spacing w:line="240" w:lineRule="auto"/>
        <w:tabs>
          <w:tab w:val="clear" w:pos="708" w:leader="none"/>
          <w:tab w:val="left" w:pos="1134" w:leader="none"/>
        </w:tabs>
      </w:pPr>
      <w:r>
        <w:rPr>
          <w:rFonts w:ascii="Times New Roman" w:hAnsi="Times New Roman" w:cs="Times New Roman"/>
          <w:b/>
          <w:sz w:val="24"/>
          <w:szCs w:val="24"/>
        </w:rPr>
        <w:t xml:space="preserve">СанПиН 2.2.1/2.1.1.2739-10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Санитарно-защитные зоны и санитарная классификация предприятий, сооружений и иных объектов» (Новая редакция). </w:t>
      </w:r>
      <w:r>
        <w:rPr>
          <w:rFonts w:ascii="Times New Roman" w:hAnsi="Times New Roman" w:cs="Times New Roman"/>
          <w:sz w:val="24"/>
          <w:szCs w:val="24"/>
        </w:rPr>
        <w:t xml:space="preserve">Изменение 3 к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СанПиН 2.2.1/2.1.1.1200-03.</w:t>
      </w:r>
      <w:r/>
    </w:p>
    <w:p>
      <w:pPr>
        <w:pStyle w:val="854"/>
        <w:jc w:val="both"/>
        <w:spacing w:line="240" w:lineRule="auto"/>
        <w:tabs>
          <w:tab w:val="clear" w:pos="708" w:leader="none"/>
          <w:tab w:val="left" w:pos="1134" w:leader="none"/>
        </w:tabs>
      </w:pPr>
      <w:r>
        <w:rPr>
          <w:rFonts w:ascii="Times New Roman" w:hAnsi="Times New Roman" w:cs="Times New Roman"/>
          <w:b/>
          <w:sz w:val="24"/>
          <w:szCs w:val="24"/>
        </w:rPr>
        <w:t xml:space="preserve">СанПиН 2.2.1/2.1.1.1200-03</w:t>
      </w:r>
      <w:r>
        <w:rPr>
          <w:rFonts w:ascii="Times New Roman" w:hAnsi="Times New Roman" w:cs="Times New Roman"/>
          <w:sz w:val="24"/>
          <w:szCs w:val="24"/>
        </w:rPr>
        <w:t xml:space="preserve"> «Санитарно-защитные зоны и санитарная классификация предприятий, сооружений и иных объектов» Изменение 4 от 25.04.2014 г.</w:t>
      </w:r>
      <w:r/>
    </w:p>
    <w:p>
      <w:pPr>
        <w:pStyle w:val="829"/>
        <w:contextualSpacing/>
        <w:jc w:val="both"/>
        <w:spacing w:before="0" w:after="20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СанПиН 2.1.4.1116-02</w:t>
      </w:r>
      <w:r>
        <w:rPr>
          <w:rFonts w:ascii="Times New Roman" w:hAnsi="Times New Roman" w:cs="Times New Roman"/>
          <w:sz w:val="24"/>
          <w:szCs w:val="24"/>
        </w:rPr>
        <w:t xml:space="preserve"> «Питьевая вода. Гигиенические требования к качеству воды, расфасованной в емкости. Контроль качества».</w:t>
      </w:r>
      <w:r/>
    </w:p>
    <w:p>
      <w:pPr>
        <w:pStyle w:val="829"/>
        <w:contextualSpacing/>
        <w:jc w:val="both"/>
        <w:spacing w:before="0" w:after="20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СанПиН 2.1.4.2581-10</w:t>
      </w:r>
      <w:r>
        <w:rPr>
          <w:rFonts w:ascii="Times New Roman" w:hAnsi="Times New Roman" w:cs="Times New Roman"/>
          <w:sz w:val="24"/>
          <w:szCs w:val="24"/>
        </w:rPr>
        <w:t xml:space="preserve"> «Питьевая вода. Гигиенические требования к качеству воды, расфасованной в емкости. Контроль качества.» Изменения №1 к СанПиН 1116-02.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contextualSpacing/>
        <w:jc w:val="both"/>
        <w:spacing w:before="0" w:after="20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СанПиН 2.1.4.2653-10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«Питьевая вода. Гигиенические требования к качеству воды, расфасованной в емкости. Контроль качества.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»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Изменения № 2 к СанПиН 2.1.4.1116-02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pStyle w:val="829"/>
        <w:contextualSpacing/>
        <w:jc w:val="both"/>
        <w:spacing w:before="0" w:after="20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СанПиН  2.1.4.1110-02</w:t>
      </w:r>
      <w:r>
        <w:rPr>
          <w:rFonts w:ascii="Times New Roman" w:hAnsi="Times New Roman" w:cs="Times New Roman"/>
          <w:sz w:val="24"/>
          <w:szCs w:val="24"/>
        </w:rPr>
        <w:t xml:space="preserve"> «Зоны санитарной охраны источников водоснабжения и водопроводов питьевого назначения».</w:t>
      </w:r>
      <w:r/>
    </w:p>
    <w:p>
      <w:pPr>
        <w:pStyle w:val="829"/>
        <w:jc w:val="both"/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СанПиН 2.6.1.2748-10</w:t>
      </w:r>
      <w:r>
        <w:rPr>
          <w:rFonts w:ascii="Times New Roman" w:hAnsi="Times New Roman" w:cs="Times New Roman"/>
          <w:sz w:val="24"/>
          <w:szCs w:val="24"/>
        </w:rPr>
        <w:t xml:space="preserve"> "Гигиенические требования по обеспечению радиационной безопасности при работе с источниками неиспользуемого рентгеновского излучения"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jc w:val="both"/>
        <w:spacing w:before="0" w:after="0" w:line="240" w:lineRule="auto"/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СанПиН 2.6.1.2749-10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"Гигиенические требования по обеспечению радиационной безопасности при обращении с радиоизотопными термоэлектрическими генераторами"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pStyle w:val="829"/>
        <w:contextualSpacing/>
        <w:jc w:val="both"/>
        <w:spacing w:before="0" w:after="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СП 2.1.5.1059-01</w:t>
      </w:r>
      <w:r>
        <w:rPr>
          <w:rFonts w:ascii="Times New Roman" w:hAnsi="Times New Roman" w:cs="Times New Roman"/>
          <w:sz w:val="24"/>
          <w:szCs w:val="24"/>
        </w:rPr>
        <w:t xml:space="preserve"> «Гигиенические требования к охране подземных вод от загрязнения».</w:t>
      </w:r>
      <w:r/>
    </w:p>
    <w:p>
      <w:pPr>
        <w:pStyle w:val="829"/>
        <w:contextualSpacing/>
        <w:spacing w:before="0" w:after="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СанПиН 2.6.1.2523-09</w:t>
      </w:r>
      <w:r>
        <w:rPr>
          <w:rFonts w:ascii="Times New Roman" w:hAnsi="Times New Roman" w:cs="Times New Roman"/>
          <w:sz w:val="24"/>
          <w:szCs w:val="24"/>
        </w:rPr>
        <w:t xml:space="preserve"> «Нормы радиационной безопасности НРБ 99/2009» Постановление Главного государственного санитарного врача РФ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от 07.07.2009г.</w:t>
      </w:r>
      <w:r/>
    </w:p>
    <w:p>
      <w:pPr>
        <w:pStyle w:val="829"/>
        <w:contextualSpacing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 2.6.1.2612-10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Основные санитарные правила обеспечения радиационной безопасности (ОСПОРБ– 99/2010)» от 26.04. 2010 г.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829"/>
        <w:jc w:val="both"/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Style w:val="836"/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  <w:u w:val="none"/>
        </w:rPr>
        <w:t xml:space="preserve">СанПиН </w:t>
      </w:r>
      <w:r>
        <w:rPr>
          <w:rStyle w:val="836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</w:rPr>
        <w:t xml:space="preserve">2.6.4115-25 </w:t>
      </w:r>
      <w:r>
        <w:rPr>
          <w:rStyle w:val="83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u w:val="none"/>
        </w:rPr>
        <w:t xml:space="preserve">"Санитарно-эпидемиологические требования в области радиационной безопасности населения при обращении источников ионизирующего излучения"</w:t>
      </w:r>
      <w:r>
        <w:rPr>
          <w:rStyle w:val="83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u w:val="none"/>
        </w:rPr>
        <w:t xml:space="preserve">от 27.03.2025г</w:t>
      </w:r>
      <w:r>
        <w:rPr>
          <w:rStyle w:val="836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u w:val="none"/>
        </w:rPr>
        <w:t xml:space="preserve">.</w:t>
      </w:r>
      <w:r>
        <w:rPr>
          <w:rStyle w:val="836"/>
          <w:rFonts w:ascii="Times New Roman" w:hAnsi="Times New Roman" w:cs="Times New Roman"/>
          <w:b/>
          <w:bCs/>
          <w:color w:val="000000" w:themeColor="text1"/>
          <w:sz w:val="24"/>
          <w:szCs w:val="24"/>
          <w:u w:val="none"/>
        </w:rPr>
      </w:r>
      <w:hyperlink r:id="rId9" w:tooltip="http://docs.cntd.ru/document/499057884" w:history="1">
        <w:r>
          <w:rPr>
            <w:rStyle w:val="836"/>
            <w:rFonts w:ascii="Times New Roman" w:hAnsi="Times New Roman" w:cs="Times New Roman"/>
            <w:sz w:val="24"/>
            <w:szCs w:val="24"/>
          </w:rPr>
          <w:t xml:space="preserve"> </w:t>
          <w:br/>
        </w:r>
        <w:r>
          <w:rPr>
            <w:rStyle w:val="836"/>
            <w:rFonts w:ascii="Times New Roman" w:hAnsi="Times New Roman" w:eastAsia="Times New Roman" w:cs="Times New Roman"/>
            <w:sz w:val="24"/>
            <w:szCs w:val="24"/>
          </w:rPr>
        </w:r>
      </w:hyperlink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СанПиН 2.3/2.4.4282-26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«Санитарно-эпидемиологические требования к организации общественного питания населения»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jc w:val="both"/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СП 2.3.6.4281-26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"Санитарно-эпидемиологические требования к условиям деятельности торговых объектов и рынков, реализующих пищевую продукцию"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jc w:val="both"/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СанПиН 2.3.2.1324-03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«Гигиенические требования к срокам годности и условиям хранения пищевых продуктов»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jc w:val="both"/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СанПиН 2.3.2.1078-01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«Гигиенические требования безопасности и пищевой ценности пищевых продуктов»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jc w:val="both"/>
        <w:spacing w:line="240" w:lineRule="auto"/>
        <w:rPr>
          <w:rStyle w:val="836"/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u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СанПиН 2.1.3684-21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«Санитарно-эпидемиологические требования к содержанию территорий городских и сельских поселе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</w:t>
      </w:r>
      <w:bookmarkStart w:id="0" w:name="_Hlk66431570"/>
      <w:r/>
      <w:bookmarkStart w:id="1" w:name="_Hlk66358115"/>
      <w:r>
        <w:rPr>
          <w:rStyle w:val="836"/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u w:val="none"/>
        </w:rPr>
      </w:r>
      <w:r>
        <w:rPr>
          <w:rStyle w:val="836"/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u w:val="none"/>
        </w:rPr>
      </w:r>
    </w:p>
    <w:p>
      <w:pPr>
        <w:pStyle w:val="829"/>
        <w:jc w:val="both"/>
        <w:spacing w:line="240" w:lineRule="auto"/>
      </w:pPr>
      <w:r>
        <w:rPr>
          <w:rFonts w:ascii="Times New Roman" w:hAnsi="Times New Roman" w:cs="Times New Roman"/>
          <w:b/>
          <w:iCs/>
          <w:color w:val="000000"/>
          <w:spacing w:val="-7"/>
          <w:sz w:val="24"/>
          <w:szCs w:val="24"/>
        </w:rPr>
        <w:t xml:space="preserve">СанПиН 1.2.3685-21</w:t>
      </w:r>
      <w:r>
        <w:rPr>
          <w:rFonts w:ascii="Times New Roman" w:hAnsi="Times New Roman" w:cs="Times New Roman"/>
          <w:iCs/>
          <w:color w:val="000000"/>
          <w:spacing w:val="-7"/>
          <w:sz w:val="24"/>
          <w:szCs w:val="24"/>
        </w:rPr>
        <w:t xml:space="preserve"> «Гигиенические нормативы и требования к обеспечению безопасности и (или) безвредности для человека факторов среды обитания</w:t>
      </w:r>
      <w:bookmarkEnd w:id="1"/>
      <w:r>
        <w:rPr>
          <w:rFonts w:ascii="Times New Roman" w:hAnsi="Times New Roman" w:cs="Times New Roman"/>
          <w:iCs/>
          <w:color w:val="000000"/>
          <w:spacing w:val="-7"/>
          <w:sz w:val="24"/>
          <w:szCs w:val="24"/>
        </w:rPr>
        <w:t xml:space="preserve">».</w:t>
      </w:r>
      <w:r/>
    </w:p>
    <w:p>
      <w:pPr>
        <w:pStyle w:val="829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СанПиН 3.3686-21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«Санитарно- эпидемиологические требования по профилактике инфекционных болезней».</w:t>
      </w:r>
      <w:r>
        <w:rPr>
          <w:rFonts w:ascii="Times New Roman" w:hAnsi="Times New Roman" w:cs="Times New Roman"/>
          <w:iCs/>
          <w:color w:val="000000"/>
          <w:spacing w:val="-7"/>
          <w:sz w:val="24"/>
          <w:szCs w:val="24"/>
        </w:rPr>
        <w:t xml:space="preserve"> 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СанПиН 2.1.8/2.2.4.1383-03</w:t>
      </w:r>
      <w:r>
        <w:rPr>
          <w:rFonts w:ascii="Times New Roman" w:hAnsi="Times New Roman" w:cs="Times New Roman"/>
          <w:sz w:val="24"/>
          <w:szCs w:val="24"/>
        </w:rPr>
        <w:t xml:space="preserve"> «Гигиенические требования к размещению и эксплуатации передающих радиотехнических объектов».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СанПиН 2.1.8/2.2.4.1190-03</w:t>
      </w:r>
      <w:r>
        <w:rPr>
          <w:rFonts w:ascii="Times New Roman" w:hAnsi="Times New Roman" w:cs="Times New Roman"/>
          <w:sz w:val="24"/>
          <w:szCs w:val="24"/>
        </w:rPr>
        <w:t xml:space="preserve"> «Гигиенические требования к размещению и эксплуатации средств сухопутной подвижной радиосвязи».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СанПиН 2.1.8/2.2.4.2302-07</w:t>
      </w:r>
      <w:r>
        <w:rPr>
          <w:rFonts w:ascii="Times New Roman" w:hAnsi="Times New Roman" w:cs="Times New Roman"/>
          <w:sz w:val="24"/>
          <w:szCs w:val="24"/>
        </w:rPr>
        <w:t xml:space="preserve"> Гигиенические требования к размещению и эксплуатации передающих радиотехнических объектов. Изменение N 1 к СанПиН 2.1.8/2.2.4.1383-03.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СанПиН 2.6.1.2573-10</w:t>
      </w:r>
      <w:r>
        <w:rPr>
          <w:rFonts w:ascii="Times New Roman" w:hAnsi="Times New Roman" w:cs="Times New Roman"/>
          <w:sz w:val="24"/>
          <w:szCs w:val="24"/>
        </w:rPr>
        <w:t xml:space="preserve"> «Гигиенические требования к размещению и эксплуатации ускорителей электронов с энергией до 100 МэВ».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СанПиН 2.4.7.007-93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"Производство и реализация игр и игрушек"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/>
      <w:hyperlink r:id="rId10" w:tooltip="http://docs.cntd.ru/document/902036997" w:history="1">
        <w:r>
          <w:rPr>
            <w:rStyle w:val="836"/>
            <w:rFonts w:ascii="Times New Roman" w:hAnsi="Times New Roman" w:cs="Times New Roman"/>
            <w:b/>
            <w:color w:val="000000"/>
            <w:sz w:val="24"/>
            <w:szCs w:val="24"/>
            <w:u w:val="none"/>
          </w:rPr>
          <w:t xml:space="preserve">СП 1.1.2193-07 </w:t>
        </w:r>
        <w:r>
          <w:rPr>
            <w:rStyle w:val="836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Изменения и дополнения N 1 к </w:t>
        </w:r>
        <w:r>
          <w:rPr>
            <w:rStyle w:val="836"/>
            <w:rFonts w:ascii="Times New Roman" w:hAnsi="Times New Roman" w:cs="Times New Roman"/>
            <w:bCs/>
            <w:sz w:val="24"/>
            <w:szCs w:val="24"/>
          </w:rPr>
          <w:t xml:space="preserve">СП 1.1.1058-01 «Санитарные правила 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мероприятий»</w:t>
        </w:r>
        <w:r>
          <w:rPr>
            <w:rStyle w:val="836"/>
            <w:rFonts w:ascii="Times New Roman" w:hAnsi="Times New Roman" w:cs="Times New Roman"/>
            <w:sz w:val="24"/>
            <w:szCs w:val="24"/>
          </w:rPr>
          <w:t xml:space="preserve"> от 27 марта 2007 года.</w:t>
          <w:br/>
        </w:r>
        <w:r>
          <w:rPr>
            <w:rStyle w:val="836"/>
            <w:rFonts w:ascii="Times New Roman" w:hAnsi="Times New Roman" w:cs="Times New Roman"/>
            <w:b/>
            <w:bCs/>
            <w:color w:val="000000" w:themeColor="text1"/>
            <w:sz w:val="24"/>
            <w:szCs w:val="24"/>
            <w:u w:val="none"/>
          </w:rPr>
          <w:t xml:space="preserve">СП 2.2.</w:t>
        </w:r>
        <w:r>
          <w:rPr>
            <w:rStyle w:val="836"/>
            <w:rFonts w:ascii="Times New Roman" w:hAnsi="Times New Roman" w:cs="Times New Roman"/>
            <w:b/>
            <w:bCs/>
            <w:color w:val="000000" w:themeColor="text1"/>
            <w:sz w:val="24"/>
            <w:szCs w:val="24"/>
            <w:highlight w:val="white"/>
            <w:u w:val="none"/>
          </w:rPr>
          <w:t xml:space="preserve">5</w:t>
        </w:r>
        <w:r>
          <w:rPr>
            <w:rStyle w:val="836"/>
            <w:rFonts w:ascii="Times New Roman" w:hAnsi="Times New Roman" w:cs="Times New Roman"/>
            <w:b/>
            <w:bCs/>
            <w:color w:val="000000" w:themeColor="text1"/>
            <w:sz w:val="24"/>
            <w:szCs w:val="24"/>
            <w:u w:val="none"/>
          </w:rPr>
          <w:t xml:space="preserve">.4116-25</w:t>
        </w:r>
        <w:r>
          <w:rPr>
            <w:rStyle w:val="836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"Санитарно-эпидемиологические требования к организации и проведению работ с метанолом"</w:t>
        </w:r>
        <w:r>
          <w:rPr>
            <w:rStyle w:val="836"/>
            <w:rFonts w:ascii="Times New Roman" w:hAnsi="Times New Roman" w:cs="Times New Roman"/>
            <w:color w:val="000000" w:themeColor="text1"/>
            <w:sz w:val="24"/>
            <w:szCs w:val="24"/>
          </w:rPr>
        </w:r>
      </w:hyperlink>
      <w:r/>
      <w:hyperlink r:id="rId11" w:tooltip="http://docs.cntd.ru/document/902290619" w:history="1">
        <w:r>
          <w:rPr>
            <w:rStyle w:val="836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от 27.03.2025г.</w:t>
        </w:r>
        <w:r>
          <w:rPr>
            <w:rStyle w:val="836"/>
            <w:rFonts w:ascii="Times New Roman" w:hAnsi="Times New Roman" w:cs="Times New Roman"/>
            <w:sz w:val="24"/>
            <w:szCs w:val="24"/>
          </w:rPr>
          <w:br/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СП 2.2.1.2263-07</w:t>
      </w:r>
      <w:r>
        <w:rPr>
          <w:rFonts w:ascii="Times New Roman" w:hAnsi="Times New Roman" w:cs="Times New Roman"/>
          <w:bCs/>
          <w:sz w:val="24"/>
          <w:szCs w:val="24"/>
        </w:rPr>
        <w:t xml:space="preserve"> «</w:t>
      </w:r>
      <w:hyperlink r:id="rId12" w:tooltip="http://docs.cntd.ru/document/902060223" w:history="1">
        <w:r>
          <w:rPr>
            <w:rStyle w:val="836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Санитарные правила для автотранспортного предприятия с топливозаправочным пунктом, осуществляющего заправку и эксплуатацию автомобилей на диметиловом эфире» </w:t>
        </w:r>
        <w:r>
          <w:rPr>
            <w:rStyle w:val="836"/>
            <w:rFonts w:ascii="Times New Roman" w:hAnsi="Times New Roman" w:cs="Times New Roman"/>
            <w:sz w:val="24"/>
            <w:szCs w:val="24"/>
          </w:rPr>
          <w:t xml:space="preserve">от 27 августа 2007 года.</w:t>
          <w:br/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СП 2.2.4285-26 </w:t>
      </w:r>
      <w:r>
        <w:rPr>
          <w:rFonts w:ascii="Times New Roman" w:hAnsi="Times New Roman" w:cs="Times New Roman"/>
          <w:bCs/>
          <w:sz w:val="24"/>
          <w:szCs w:val="24"/>
        </w:rPr>
        <w:t xml:space="preserve">"Санитарно-эпидемиологические требования к условиям труда" от 02.06.2026 г.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СП 2.5.4286-26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 «Санитарно-эпидемиологические требования к отдельным видам транспорта и объектам транспортной инфраструктуры»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829"/>
        <w:jc w:val="both"/>
        <w:spacing w:line="24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  <w:t xml:space="preserve">СП 2.4.2.4283-26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«Санитарно-эпидемиологические требования к организациям воспитания и обучения, отдыха и оздоровления детей и молодежи»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  <w:t xml:space="preserve">СП 2.1.4284-26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С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П 2.6.1.759-99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«Допустимые уровни содержания цезия-137 и стронция-90 в продукции лесного хозяйства»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СП 2.1.7.1386-03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«Санитарные правила по определению класса опасности токсичных отходов производства потребления»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rPr>
          <w:b w:val="0"/>
          <w:bCs w:val="0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  <w:r>
        <w:rPr>
          <w:rFonts w:ascii="Times New Roman" w:hAnsi="Times New Roman" w:cs="Times New Roman"/>
          <w:sz w:val="24"/>
          <w:szCs w:val="24"/>
        </w:rPr>
        <w:t xml:space="preserve">Главного государственного санитарного врача Российской Федерации </w:t>
      </w:r>
      <w:r>
        <w:rPr>
          <w:rFonts w:ascii="Times New Roman" w:hAnsi="Times New Roman" w:cs="Times New Roman"/>
          <w:b/>
          <w:sz w:val="24"/>
          <w:szCs w:val="24"/>
        </w:rPr>
        <w:t xml:space="preserve">№ 133</w:t>
      </w:r>
      <w:r>
        <w:rPr>
          <w:rFonts w:ascii="Times New Roman" w:hAnsi="Times New Roman" w:cs="Times New Roman"/>
          <w:sz w:val="24"/>
          <w:szCs w:val="24"/>
        </w:rPr>
        <w:t xml:space="preserve"> «Об оптимизации противоэпидемической работы  и утверждении формы акта эпидемиологического расследования очага инфекционной (паразитарной) болезни с установлением причинно-следственной связи» от 21 октября 2010 г.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Приказ Роспотребнадзора</w:t>
      </w:r>
      <w:r>
        <w:rPr>
          <w:rFonts w:ascii="Times New Roman" w:hAnsi="Times New Roman" w:cs="Times New Roman"/>
          <w:sz w:val="24"/>
          <w:szCs w:val="24"/>
        </w:rPr>
        <w:t xml:space="preserve"> (далее </w:t>
      </w:r>
      <w:r>
        <w:rPr>
          <w:rFonts w:ascii="Times New Roman" w:hAnsi="Times New Roman" w:cs="Times New Roman"/>
          <w:b/>
          <w:sz w:val="24"/>
          <w:szCs w:val="24"/>
        </w:rPr>
        <w:t xml:space="preserve">Приказ РПН</w:t>
      </w:r>
      <w:r>
        <w:rPr>
          <w:rFonts w:ascii="Times New Roman" w:hAnsi="Times New Roman" w:cs="Times New Roman"/>
          <w:sz w:val="24"/>
          <w:szCs w:val="24"/>
        </w:rPr>
        <w:t xml:space="preserve">) от 19.07.2007 </w:t>
      </w:r>
      <w:r>
        <w:rPr>
          <w:rFonts w:ascii="Times New Roman" w:hAnsi="Times New Roman" w:cs="Times New Roman"/>
          <w:b/>
          <w:sz w:val="24"/>
          <w:szCs w:val="24"/>
        </w:rPr>
        <w:t xml:space="preserve">№ 224 </w:t>
      </w:r>
      <w:r>
        <w:rPr>
          <w:rFonts w:ascii="Times New Roman" w:hAnsi="Times New Roman" w:cs="Times New Roman"/>
          <w:sz w:val="24"/>
          <w:szCs w:val="24"/>
        </w:rPr>
        <w:t xml:space="preserve">«О санитарно-эпидемиологических экспертизах, обследованиях, исследованиях, испытаниях и токсикологических, гигиенических и иных видах оценок». 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52"/>
        <w:contextualSpacing/>
        <w:ind w:left="0" w:right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Приказ Роспотребнадзора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"О порядке проведения  социально-гигиенического мониторинга, представления данных и обмена ими" 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 xml:space="preserve">от 17.11.2006 </w:t>
      </w: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№367 </w:t>
      </w:r>
      <w:r>
        <w:rPr>
          <w:rFonts w:ascii="Times New Roman" w:hAnsi="Times New Roman" w:cs="Times New Roman"/>
          <w:b/>
          <w:spacing w:val="-16"/>
          <w:sz w:val="24"/>
          <w:szCs w:val="24"/>
        </w:rPr>
        <w:t xml:space="preserve">(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редакция </w:t>
      </w:r>
      <w:r>
        <w:rPr>
          <w:rFonts w:ascii="Times New Roman" w:hAnsi="Times New Roman" w:cs="Times New Roman"/>
          <w:sz w:val="24"/>
          <w:szCs w:val="24"/>
        </w:rPr>
        <w:t xml:space="preserve">от 07.02.2007 г).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2"/>
        <w:contextualSpacing/>
        <w:ind w:left="0" w:right="0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Приказ Роспотребнадзора и Росгидромета 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 xml:space="preserve">от 22.11.2007</w:t>
      </w: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 №329/384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"Об утверждении Положения о проведении социально-гигиенического мониторинга" </w:t>
      </w:r>
      <w:r/>
    </w:p>
    <w:p>
      <w:pPr>
        <w:pStyle w:val="852"/>
        <w:contextualSpacing/>
        <w:ind w:left="0" w:right="0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Приказ Роспотребнадзора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 xml:space="preserve"> от 30.12.2005 </w:t>
      </w: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№810 </w:t>
      </w:r>
      <w:r>
        <w:rPr>
          <w:rFonts w:ascii="Times New Roman" w:hAnsi="Times New Roman" w:cs="Times New Roman"/>
          <w:sz w:val="24"/>
          <w:szCs w:val="24"/>
        </w:rPr>
        <w:t xml:space="preserve">"О перечне показателей и данных для  формирования  федерального информационного фонда социально-гигиенического мониторинга"</w:t>
      </w:r>
      <w:r/>
    </w:p>
    <w:p>
      <w:pPr>
        <w:pStyle w:val="829"/>
        <w:spacing w:before="0" w:after="0" w:line="240" w:lineRule="auto"/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Приказ Министерства природных ресурсов Российской Федерации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 xml:space="preserve"> от 27.11.2007 </w:t>
      </w: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№308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hyperlink r:id="rId13" w:tooltip="http://docs.cntd.ru/document/902078127" w:history="1">
        <w:r>
          <w:rPr>
            <w:rStyle w:val="836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Об утверждении порядка представления и состава сведений, представляемых Федеральной службой по надзору в сфере защиты прав потребителей и благополучия человека, для внесения в государственный водный реестр» (с изменениями на 13 апреля 2012 года). </w:t>
        </w:r>
        <w:r>
          <w:rPr>
            <w:rStyle w:val="836"/>
            <w:rFonts w:ascii="Times New Roman" w:hAnsi="Times New Roman" w:cs="Times New Roman"/>
            <w:sz w:val="24"/>
            <w:szCs w:val="24"/>
          </w:rPr>
          <w:br/>
        </w:r>
      </w:hyperlink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Приказ Роспотребнадзора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 xml:space="preserve"> от 12.11.2007г. </w:t>
      </w: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№ 319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«О перечне организаций, осуществляющих санитарно-эпидемиологические экспертизы».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</w:r>
    </w:p>
    <w:p>
      <w:pPr>
        <w:pStyle w:val="830"/>
        <w:ind w:left="0" w:firstLine="0"/>
        <w:spacing w:before="0" w:after="0" w:line="240" w:lineRule="auto"/>
      </w:pPr>
      <w:r>
        <w:rPr>
          <w:spacing w:val="-16"/>
          <w:sz w:val="24"/>
          <w:szCs w:val="24"/>
        </w:rPr>
        <w:t xml:space="preserve">Приказ Роспотребнадзора</w:t>
      </w:r>
      <w:r>
        <w:rPr>
          <w:b w:val="0"/>
          <w:spacing w:val="-16"/>
          <w:sz w:val="24"/>
          <w:szCs w:val="24"/>
        </w:rPr>
        <w:t xml:space="preserve"> от 26.04.2005 </w:t>
      </w:r>
      <w:r>
        <w:rPr>
          <w:spacing w:val="-16"/>
          <w:sz w:val="24"/>
          <w:szCs w:val="24"/>
        </w:rPr>
        <w:t xml:space="preserve">№385</w:t>
      </w:r>
      <w:r>
        <w:rPr>
          <w:b w:val="0"/>
          <w:spacing w:val="-16"/>
          <w:sz w:val="24"/>
          <w:szCs w:val="24"/>
        </w:rPr>
        <w:t xml:space="preserve"> «</w:t>
      </w:r>
      <w:r>
        <w:rPr>
          <w:b w:val="0"/>
          <w:sz w:val="24"/>
          <w:szCs w:val="24"/>
        </w:rPr>
        <w:t xml:space="preserve">Об организации работы по социально-гигиеническому мониторингу».</w:t>
      </w:r>
      <w:r/>
    </w:p>
    <w:p>
      <w:pPr>
        <w:pStyle w:val="830"/>
        <w:ind w:left="0" w:firstLine="0"/>
        <w:spacing w:before="0" w:after="0" w:line="240" w:lineRule="auto"/>
      </w:pPr>
      <w:r>
        <w:rPr>
          <w:spacing w:val="-16"/>
          <w:sz w:val="24"/>
          <w:szCs w:val="24"/>
        </w:rPr>
        <w:t xml:space="preserve">Приказ Роспотребнадзора</w:t>
      </w:r>
      <w:r>
        <w:rPr>
          <w:b w:val="0"/>
          <w:spacing w:val="-16"/>
          <w:sz w:val="24"/>
          <w:szCs w:val="24"/>
        </w:rPr>
        <w:t xml:space="preserve"> от 17.11.2006 </w:t>
      </w:r>
      <w:r>
        <w:rPr>
          <w:spacing w:val="-16"/>
          <w:sz w:val="24"/>
          <w:szCs w:val="24"/>
        </w:rPr>
        <w:t xml:space="preserve">№368</w:t>
      </w:r>
      <w:r>
        <w:rPr>
          <w:b w:val="0"/>
          <w:sz w:val="24"/>
          <w:szCs w:val="24"/>
        </w:rPr>
        <w:t xml:space="preserve"> "Об утверждении нормативных документов по проведению социально-гигиенического мониторинга". </w:t>
      </w:r>
      <w:r/>
    </w:p>
    <w:p>
      <w:pPr>
        <w:pStyle w:val="829"/>
        <w:spacing w:before="0"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Приказ </w:t>
      </w: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Роспотребнадзора</w:t>
      </w:r>
      <w:r>
        <w:rPr>
          <w:rFonts w:ascii="Times New Roman" w:hAnsi="Times New Roman" w:cs="Times New Roman"/>
          <w:sz w:val="24"/>
          <w:szCs w:val="24"/>
        </w:rPr>
        <w:t xml:space="preserve"> от 18.06.2004 </w:t>
      </w:r>
      <w:r>
        <w:rPr>
          <w:rFonts w:ascii="Times New Roman" w:hAnsi="Times New Roman" w:cs="Times New Roman"/>
          <w:b/>
          <w:sz w:val="24"/>
          <w:szCs w:val="24"/>
        </w:rPr>
        <w:t xml:space="preserve">№ 2</w:t>
      </w:r>
      <w:r>
        <w:rPr>
          <w:rFonts w:ascii="Times New Roman" w:hAnsi="Times New Roman" w:cs="Times New Roman"/>
          <w:sz w:val="24"/>
          <w:szCs w:val="24"/>
        </w:rPr>
        <w:t xml:space="preserve"> «О государственной регистрации продукции, веществ, препаратов».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Приказ </w:t>
      </w: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Роспотребнадзора</w:t>
      </w:r>
      <w:r>
        <w:rPr>
          <w:rFonts w:ascii="Times New Roman" w:hAnsi="Times New Roman" w:cs="Times New Roman"/>
          <w:sz w:val="24"/>
          <w:szCs w:val="24"/>
        </w:rPr>
        <w:t xml:space="preserve"> от 26.06.2006 </w:t>
      </w:r>
      <w:r>
        <w:rPr>
          <w:rFonts w:ascii="Times New Roman" w:hAnsi="Times New Roman" w:cs="Times New Roman"/>
          <w:b/>
          <w:sz w:val="24"/>
          <w:szCs w:val="24"/>
        </w:rPr>
        <w:t xml:space="preserve">№ 36</w:t>
      </w:r>
      <w:r>
        <w:rPr>
          <w:rFonts w:ascii="Times New Roman" w:hAnsi="Times New Roman" w:cs="Times New Roman"/>
          <w:sz w:val="24"/>
          <w:szCs w:val="24"/>
        </w:rPr>
        <w:t xml:space="preserve"> «О государственной регистрации биологически активных добавок к пище».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МУК   4.3.1894-04</w:t>
      </w:r>
      <w:r>
        <w:rPr>
          <w:rFonts w:ascii="Times New Roman" w:hAnsi="Times New Roman" w:cs="Times New Roman"/>
          <w:sz w:val="24"/>
          <w:szCs w:val="24"/>
        </w:rPr>
        <w:t xml:space="preserve">  «Физиолого-гигиеническая оценка одежды для защиты работающих от холода».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МУК 2.6.1.1087—02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i37012"/>
      <w:r>
        <w:rPr>
          <w:rFonts w:ascii="Times New Roman" w:hAnsi="Times New Roman" w:cs="Times New Roman"/>
          <w:sz w:val="24"/>
          <w:szCs w:val="24"/>
        </w:rPr>
        <w:t xml:space="preserve">"Радиационный контроль металлолома"</w:t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.</w:t>
      </w:r>
      <w:r/>
    </w:p>
    <w:p>
      <w:pPr>
        <w:pStyle w:val="829"/>
        <w:spacing w:before="0" w:after="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МУК 4.3.1676-03</w:t>
      </w:r>
      <w:r>
        <w:rPr>
          <w:rFonts w:ascii="Times New Roman" w:hAnsi="Times New Roman" w:cs="Times New Roman"/>
          <w:sz w:val="24"/>
          <w:szCs w:val="24"/>
        </w:rPr>
        <w:t xml:space="preserve"> «Гигиеническая оценка электромагнитных полей, создаваемых радиостанциями сухопутной подвижной связи, включая абонентские терминалы спутниковой связи». </w:t>
      </w:r>
      <w:r/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  <w:t xml:space="preserve">МУК 4.3.3830-22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"Определение уровней электромагнитного поля, создаваемого излучающими техническими средствами телевидения, ЧМ радиовещания и базовых станций сухопутной подвижной радиосвязи" от 26.12.2022 г.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МУК 4.1/4.3.2038-05</w:t>
      </w:r>
      <w:r>
        <w:rPr>
          <w:rFonts w:ascii="Times New Roman" w:hAnsi="Times New Roman" w:cs="Times New Roman"/>
          <w:sz w:val="24"/>
          <w:szCs w:val="24"/>
        </w:rPr>
        <w:t xml:space="preserve"> «Санитарно-эпидемиологическая оценка игрушек». 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МУК 2.6.1.2152-06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Style w:val="840"/>
          <w:rFonts w:ascii="Times New Roman" w:hAnsi="Times New Roman" w:cs="Times New Roman"/>
          <w:sz w:val="24"/>
          <w:szCs w:val="24"/>
        </w:rPr>
        <w:t xml:space="preserve">Ионизирующее излучение, радиационная безопасность. Радиационный контроль металлолома» (дополнение 1 к МУК 2.6.1.1087-02).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МУК 4.2.1847-04</w:t>
      </w:r>
      <w:r>
        <w:rPr>
          <w:rFonts w:ascii="Times New Roman" w:hAnsi="Times New Roman" w:cs="Times New Roman"/>
          <w:sz w:val="24"/>
          <w:szCs w:val="24"/>
        </w:rPr>
        <w:t xml:space="preserve"> «Санитарно-эпидемиологическая оценка обоснования сроков годности и условий хранения пищевых продуктов».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МУК 2.3.2.721-98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«Определение безопасности и эффективности биологически активных добавок к пище»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МУК 4.2.3016-12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«Санитарно-паразитологические исследования плодоовощной, плодово-ягодной и растительной продукции»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МУК 4.2.4180-25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"Методы санитарно-микробиологических исследований в организациях, осуществляющих медицинскую деятельность"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МУК 4.2.2661-10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«Методы санитарно-паразитологических исследований»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МУК 2.3.2.971-00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«Порядок санитарно-эпидемиологической экспертизы технических документов на пищевые продукты»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МУК 4.2.2747-10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Методы контроля. Биологические и микробиологические факторы. Методы санитарно-паразитологической экспертизы мяса и мясной продукции. Методические указания"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МУК 4.2.1479-03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«Энтомологические методы сбора и определения насекомых и клещей-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вредителей продовольственных запасов и непродовольственного сырья»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МУК 4.2.2314-08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Методы санитарно-паразитологического анализа воды».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МУК 4.2.2029-05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«Методы контроля. Биологические и микробиологические факторы. Санитарно-вирусологический контроль водных объектов».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МУК 4.2.1884-04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"Санитарно-микробиологический и санитарно-паразитологический анализ воды поверхностных водных объектов"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МУК 4.2.3721-21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"Изменения N 3 в МУК 4.2.1884-04 "Санитарно-микробиологический и санитарно-паразитологический анализ воды поверхностных водных объектов"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МУК 4.2.3963-23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"Бактериологические методы исследования воды"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МУК 4.2.4063-24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"Организация и проведение исследований материалов из объектов окружающей среды на полиовирусы, неполиоэнтеровирусы"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МУК 4.3.3672-20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"Методика проведения измерений электрических и магнитных полей промышленной частоты 50 Гц в жилых и общественных зданиях"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МУК 4.3.4181-25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"Методические указания по измерению общей и локальной вибрации на рабочих местах"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МУК 4.3.2491-09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Методы контроля. Физические факторы. Гигиеническая оценка электрических и магнитных полей промышленной частоты (50 Гц) в производственных условиях».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МУК 4.3.3975-24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"Методические указания по инструментальному контролю и оценке освещения рабочих мест"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МУК 4.3.4120-25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по измерению параметров микроклимата на рабочих местах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Методические указания по осуществлению государственного санитарного надзора за судовыми установками очистки и обеззараживания сточных вод 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№ 4260-87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29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МР 2.6.1.0361-24 </w:t>
      </w:r>
      <w:r>
        <w:rPr>
          <w:rFonts w:ascii="Times New Roman" w:hAnsi="Times New Roman" w:eastAsia="Times New Roman" w:cs="Times New Roman"/>
          <w:b w:val="0"/>
          <w:bCs w:val="0"/>
          <w:spacing w:val="-16"/>
          <w:sz w:val="24"/>
          <w:szCs w:val="24"/>
          <w:lang w:eastAsia="ru-RU"/>
        </w:rPr>
        <w:t xml:space="preserve">"Радиационный контроль земельных участков, предназначенных под строительство жилых домов, зданий и сооружений общественного и производственного назначения, а также прилегающей к зданиям и сооружениям территории и территории общего пользован</w:t>
      </w:r>
      <w:r>
        <w:rPr>
          <w:rFonts w:ascii="Times New Roman" w:hAnsi="Times New Roman" w:eastAsia="Times New Roman" w:cs="Times New Roman"/>
          <w:b w:val="0"/>
          <w:bCs w:val="0"/>
          <w:spacing w:val="-16"/>
          <w:sz w:val="24"/>
          <w:szCs w:val="24"/>
          <w:lang w:eastAsia="ru-RU"/>
        </w:rPr>
        <w:t xml:space="preserve">ия" от 24.12.2024 г</w:t>
      </w:r>
      <w:r>
        <w:rPr>
          <w:rFonts w:ascii="Times New Roman" w:hAnsi="Times New Roman" w:eastAsia="Times New Roman" w:cs="Times New Roman"/>
          <w:b w:val="0"/>
          <w:bCs w:val="0"/>
          <w:spacing w:val="-16"/>
          <w:sz w:val="24"/>
          <w:szCs w:val="24"/>
          <w:lang w:eastAsia="ru-RU"/>
        </w:rPr>
        <w:t xml:space="preserve">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МУ 2.6.1.1868-04</w:t>
      </w:r>
      <w:r>
        <w:rPr>
          <w:rFonts w:ascii="Times New Roman" w:hAnsi="Times New Roman" w:cs="Times New Roman"/>
          <w:sz w:val="24"/>
          <w:szCs w:val="24"/>
        </w:rPr>
        <w:t xml:space="preserve">  «Внедрение показателей радиационной безопасности о состоянии объектов окружающей среды, в т.ч. продовольственного сырья и пищевых продуктов, в систему социально-гигиенического мониторинга».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29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МР 2.6.1.0333-23 </w:t>
      </w:r>
      <w:r>
        <w:rPr>
          <w:rFonts w:ascii="Times New Roman" w:hAnsi="Times New Roman" w:eastAsia="Times New Roman" w:cs="Times New Roman"/>
          <w:b w:val="0"/>
          <w:bCs w:val="0"/>
          <w:spacing w:val="-16"/>
          <w:sz w:val="24"/>
          <w:szCs w:val="24"/>
          <w:lang w:eastAsia="ru-RU"/>
        </w:rPr>
        <w:t xml:space="preserve">"Радиационный контроль и санитарно-эпидемиологическая оценка жилых, общественных и производственных зданий и сооружений по показателям радиационной безопасности"</w:t>
      </w:r>
      <w:r>
        <w:rPr>
          <w:rFonts w:ascii="Times New Roman" w:hAnsi="Times New Roman" w:eastAsia="Times New Roman" w:cs="Times New Roman"/>
          <w:b w:val="0"/>
          <w:bCs w:val="0"/>
          <w:spacing w:val="-16"/>
          <w:sz w:val="24"/>
          <w:szCs w:val="24"/>
          <w:lang w:eastAsia="ru-RU"/>
        </w:rPr>
        <w:t xml:space="preserve"> от 01.12.2023 г.</w:t>
      </w: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</w:r>
      <w:r/>
    </w:p>
    <w:p>
      <w:pPr>
        <w:pStyle w:val="829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МУ 2.6.1.2153-06</w:t>
      </w:r>
      <w:r>
        <w:rPr>
          <w:rFonts w:ascii="Times New Roman" w:hAnsi="Times New Roman" w:cs="Times New Roman"/>
          <w:sz w:val="24"/>
          <w:szCs w:val="24"/>
        </w:rPr>
        <w:t xml:space="preserve"> «Оперативная оценка доз облучения населения при радиоактивном загрязнении территории воздушным путем».</w:t>
      </w:r>
      <w:r/>
    </w:p>
    <w:p>
      <w:pPr>
        <w:pStyle w:val="829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МУ 2.6.1.2397-08 </w:t>
      </w:r>
      <w:hyperlink r:id="rId14" w:tooltip="http://docs.cntd.ru/document/1200076519" w:history="1">
        <w:r>
          <w:rPr>
            <w:rStyle w:val="836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Оценка доз облучения групп населения, подвергающихся повышенному облучению за счет природных источников ионизирующего излучения. </w:t>
        </w:r>
        <w:r>
          <w:rPr>
            <w:rStyle w:val="836"/>
            <w:rFonts w:ascii="Times New Roman" w:hAnsi="Times New Roman" w:cs="Times New Roman"/>
            <w:sz w:val="24"/>
            <w:szCs w:val="24"/>
          </w:rPr>
          <w:br/>
        </w:r>
      </w:hyperlink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МУ 2.6.1.1981-05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«Радиационный контроль и гигиеническая оценка источников питьевого водоснабжения и питьевой воды по показателям радиационной безопасности. Оптимизация защитных мероприятий источников питьевого водоснабжения с повышенным содержанием радионуклидов».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/>
    </w:p>
    <w:p>
      <w:pPr>
        <w:pStyle w:val="829"/>
        <w:spacing w:before="0" w:after="0" w:line="240" w:lineRule="auto"/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МУ 2.1.10.3014-12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hyperlink r:id="rId15" w:tooltip="http://docs.cntd.ru/document/1200095241" w:history="1">
        <w:r>
          <w:rPr>
            <w:rStyle w:val="836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Оценка радиационного риска у населения за счет длительного равномерного техногенного облучения в малых дозах». </w:t>
        </w:r>
        <w:r>
          <w:rPr>
            <w:rStyle w:val="836"/>
            <w:rFonts w:ascii="Times New Roman" w:hAnsi="Times New Roman" w:cs="Times New Roman"/>
            <w:sz w:val="24"/>
            <w:szCs w:val="24"/>
          </w:rPr>
          <w:br/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МУ 2.2.2.1844-04</w:t>
      </w:r>
      <w:r>
        <w:rPr>
          <w:rFonts w:ascii="Times New Roman" w:hAnsi="Times New Roman" w:cs="Times New Roman"/>
          <w:sz w:val="24"/>
          <w:szCs w:val="24"/>
        </w:rPr>
        <w:t xml:space="preserve"> «Санитарно - эпидемиологическая экспертиза продукции нефтепереработки и нефтехимии».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  1.2.1796-03</w:t>
      </w:r>
      <w:r>
        <w:rPr>
          <w:rFonts w:ascii="Times New Roman" w:hAnsi="Times New Roman" w:cs="Times New Roman"/>
          <w:sz w:val="24"/>
          <w:szCs w:val="24"/>
        </w:rPr>
        <w:t xml:space="preserve">  «Гигиеническая оценка и экспертиза материалов и товаров, содержащих природные и искусственные минеральные волокна».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МУ 2.6.1.1194-03</w:t>
      </w:r>
      <w:r>
        <w:rPr>
          <w:rFonts w:ascii="Times New Roman" w:hAnsi="Times New Roman" w:cs="Times New Roman"/>
          <w:sz w:val="24"/>
          <w:szCs w:val="24"/>
        </w:rPr>
        <w:t xml:space="preserve"> "Радиационный контроль. Стронций-90 и цезий-137. Пищевые продукты. Отбор проб, анализ и гигиеническая оценка".</w:t>
      </w:r>
      <w:r/>
    </w:p>
    <w:p>
      <w:pPr>
        <w:pStyle w:val="829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spacing w:val="-16"/>
          <w:sz w:val="24"/>
          <w:szCs w:val="24"/>
        </w:rPr>
        <w:t xml:space="preserve">МУ 2.1.7.730-99 </w:t>
      </w:r>
      <w:r>
        <w:rPr>
          <w:rFonts w:ascii="Times New Roman" w:hAnsi="Times New Roman" w:eastAsia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«Гигиеническая оценка качества почвы населенных мест». </w:t>
      </w:r>
      <w:r/>
    </w:p>
    <w:p>
      <w:pPr>
        <w:pStyle w:val="829"/>
        <w:spacing w:before="0" w:after="0" w:line="240" w:lineRule="auto"/>
        <w:shd w:val="clear" w:color="auto" w:fill="ffffff"/>
      </w:pP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МУ 1.2.3017-12</w:t>
      </w:r>
      <w:r>
        <w:rPr>
          <w:rFonts w:ascii="Times New Roman" w:hAnsi="Times New Roman" w:cs="Times New Roman"/>
          <w:sz w:val="24"/>
          <w:szCs w:val="24"/>
        </w:rPr>
        <w:t xml:space="preserve"> «Гигиена, токсикология, санитария. Оценка риска воздействия пестицидов на работающих».</w:t>
      </w:r>
      <w:r/>
    </w:p>
    <w:p>
      <w:pPr>
        <w:pStyle w:val="829"/>
        <w:spacing w:before="0" w:after="0" w:line="240" w:lineRule="auto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МУ 2.3.7.2125-06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 xml:space="preserve">Социально-гигиенический мониторинг. Контаминация продовольственного сырья и пищевых продуктов химическими веществами. Сбор, обработка и анализ показателей».</w:t>
      </w:r>
      <w:r>
        <w:rPr>
          <w:rFonts w:ascii="Times New Roman" w:hAnsi="Times New Roman" w:eastAsia="Times New Roman" w:cs="Times New Roman"/>
          <w:color w:val="ff0000"/>
          <w:spacing w:val="-16"/>
          <w:sz w:val="24"/>
          <w:szCs w:val="24"/>
          <w:lang w:eastAsia="ru-RU"/>
        </w:rPr>
        <w:br/>
      </w: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МУ 2.3.7.2519-09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 xml:space="preserve">Определение экспозиции и оценка риска воздействия хим.контаминантов пищевых продуктов на население».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МУ 3.1.4214-25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"Организация работы в очагах инфекционных и паразитарных болезней" </w:t>
      </w:r>
      <w:r/>
    </w:p>
    <w:p>
      <w:pPr>
        <w:pStyle w:val="829"/>
        <w:spacing w:before="0" w:after="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МУ 3.3.1879-04</w:t>
      </w:r>
      <w:r>
        <w:rPr>
          <w:rFonts w:ascii="Times New Roman" w:hAnsi="Times New Roman" w:cs="Times New Roman"/>
          <w:sz w:val="24"/>
          <w:szCs w:val="24"/>
        </w:rPr>
        <w:t xml:space="preserve">  «Расследование поствакцинальных осложнений».</w:t>
      </w:r>
      <w:r/>
    </w:p>
    <w:p>
      <w:pPr>
        <w:pStyle w:val="829"/>
        <w:spacing w:before="0" w:after="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МУ 3.2.3966-23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"Эпидемиологический надзор и профилактика лямблиоза"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pStyle w:val="829"/>
        <w:spacing w:before="0" w:after="0" w:line="240" w:lineRule="auto"/>
        <w:rPr>
          <w:b w:val="0"/>
          <w:bCs w:val="0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  <w:t xml:space="preserve">МУ 3.1/4.2.4069-24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"Эпидемиологический надзор, лабораторная диагностика и профилактика лихорадки Западного Нила"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 3.1.3.2488-09</w:t>
      </w:r>
      <w:r>
        <w:rPr>
          <w:rFonts w:ascii="Times New Roman" w:hAnsi="Times New Roman" w:cs="Times New Roman"/>
          <w:sz w:val="24"/>
          <w:szCs w:val="24"/>
        </w:rPr>
        <w:t xml:space="preserve"> «Организация и проведение профилактических и противоэпидемических мероприятий против Крымской геморрагической лихорадки».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3.1.2438-09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«Эпидемиологический надзор и профилактика псевдотуберкулеза и кишечного иерсиниоза».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3.1.1.2232-07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"Профилактика холеры. Организационные мероприятия. Оценка противоэпидемической готовности медицинских учреждений к проведению мероприятий на случай возникновения очага холеры"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3.1.1.2957-11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«Эпидемиологический надзор, лабораторная диагностика и профилактика ротавирусной инфекции»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3.1.2565-09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«Проведение экстренных мероприятий по дезинсекции и дератизации в природных очагах чумы на территории РФ»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3.1/3.5.2497-09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«Организация и проведение противоэпидемических и дезинфекционных мероприятий при натуральной оспе»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3.2.2568-09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  «Контроль численности кровососущих комаров рода Culex, места выплода которых находятся в населённых пунктах»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2.3.2.1935-04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«Порядок и организация контроля за пищевой продукцией, полученной из/или с использованием генетически модифицированных микроорганизмов и микроорганизмов, имеющих генетически модифицированные аналоги»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2.3.2.1917-04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«Порядок и организация контроля за пищевой продукцией, полученной из/или с использованием сырья растительного происхождения, имеющего генетически модифицированные аналоги»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2.3.2.2306-07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«О надзоре за оборотом пищевых продуктов, содержащих ГМО»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4.1/4.2.2486-09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«Идентификация, в том числе в целях выявления фальсификации, соковой продукции из фруктов и овощей»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4.1/4.2.2484-09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«Оценка подлинности и выявление фальсификации молочной продукции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».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№4237-86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«Методические указания по гигиеническому контролю за питанием в организованных коллективах»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122-5/72-91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«Методические указания по лабораторному контролю качества продукции общественного питания»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4.2.4070-24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«Лабораторная диагностика сальмонеллезов, обнаружение в пищевых продуктах и объектах окружающей среды»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№143-9/316-17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«Методические указания по санитарно-микробиологическому анализу лечебных грязей».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№ 2.1.2.1829-04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«Проектирование, строительство и эксплуатация жилых зданий, предприятий коммунально-бытового обслуживания, учреждений образования, культуры, отдыха, спорта санитарно-гигиеническая оценка полимерных и полимерсодержащих строительных материа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лов и конструкций, предназначенных для применения в строительстве жилых, общественных и промышленных зданий»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1006-73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«Методические указания по гигиене водоснабжения транспортных судов внутреннего плавания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».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2639-82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«Методические указания по организации и проведению текущего санитарного надзора за эксплуатируемыми судами и другими плавучими средствами». 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3.4.1127-02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«Санитарно-карантинный контроль в морских и речных портах, открытых для международных сообщений»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3.4.1179-02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«Санитарно-карантинный контроль на автомобильных пунктах пропуска через государственную границу Российской Федерации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».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3.4.1180-02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«Санитарно-карантинный контроль в аэропортах, открытых для международных сообщений»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122-5/72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"Методические указания по лабораторному контролю качества продукции общественного питания "Порядок отбора проб и физико-химические методы испытаний"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МУ-287-113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«Методические указания по дезинфекции, предстерилизационной очистке и стерилизации изделий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медицинского назначения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».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3.5.736-99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"Технология обработки белья в медицинских учреждениях"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3.2.1756-03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«Профилактика паразитарных болезней.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Эпидемиологический надзор за паразитарными болезнями.  Методические указания»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2.6.1.1892-04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«Гигиенические требования по обеспечению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радиационной безопасности при проведении радионуклидной диагностики с помощью радиофармпрепаратов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».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2.6.1.2135-06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«Гигиенические требования по обеспечению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радиационной безопасности при лучевой терапии закрытыми радионуклидными источниками»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2.6.1.2797-10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"Гигиенические требования по обеспечению радиационной безопасности при лучевой терапии закрытыми радионуклидными источниками"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Изменение 1 к МУ 2.6.1.2135-06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2.6.1.1981-05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«Радиационный контроль и гигиеническая оценка источников питьевого водоснабжения и питьевой воды по  показателям радиационной безопасности. Оптимизация защитных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мероприятий источников питьевого водоснабжения с повышенным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содержанием радионуклидов»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2.6.1.2500-09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«Организация надзора за обеспечением радиационной безопасности и проведение радиационного контроля в подразделении радионуклидной диагностики»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2.6.1.2808-10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Обеспечение радиационной безопасности при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проведении радионуклидной диагностики методами радиоиммунного анализа "in vitro"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2.6.1.2712-10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«Гигиенические требования по обеспечению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радиационной безопасности при внутритканевой лучевой терапии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(брахитерапии) методом имплантации закрытых радионуклидных источников»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2.1.7.2657-10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«Энтомологические методы исследования почвы населенных мест на наличие преимагинальных стадий синантропных мух»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2051-79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«Унифицированные правила отбора проб сельскохозяйственной продукции, продуктов питания и объектов окружающей среды для определения микроколичеств пестицидов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5048-89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«Методические указания по определению нитратов и нитритов в продукции растениеводства»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3.1/4.2.4145-25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"Эпидемиологический надзор, лабораторная диагностика бруцеллеза и геномный мониторинг бруцелл"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15/6-5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"Методические указания по контролю работы паровых и воздушных стерилизаторов"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3.2.974-00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«Малярийные комары и борьба с ними на территории Российской Федерации»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3.3.1.1123-02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«Мониторинг поствакцинальных осложнений и их профилактика»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3.5.3011-12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«Неспецифическая профилактика клещевого вирусного энцефалита и иксодовых клещевых боррелиозов»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3.4.2552-09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«Организация и проведение первичных противоэпидемических мероприятий в случаях выявления больного (трупа), подозрительного на заболевания инфекционными болезнями, вызывающими чрезвычайные ситуации в области санитарно-эпидемиологического благоп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олучия населения»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3.5.1.3082-13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 «Дезинфекционные мероприятия при сибирской язве у людей»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2.6.1.1193-03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Радиационный контроль загрязнения воздушного судна и определение мощности дозы ионизирующего излучения от источников излучения в составе узлов и агрегатов авиационной техники».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МУ 4.2.2039-05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Методы контроля. Биологические и микробиологические факторы. Техника сбора и транспортирования биоматериалов в микробиологические лаборатории»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МР 4.2.0019-11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«Идентификация сырьевого состава мясной продукции»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МР 2.3.1.1915-04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«Рекомендуемые уровни потребления пищевых и биологически активных веществ».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29"/>
        <w:spacing w:before="0" w:after="0" w:line="240" w:lineRule="auto"/>
        <w:shd w:val="clear" w:color="auto" w:fill="ffffff"/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МР 2.1.10.0067-12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 xml:space="preserve">Оценка риска здоровью населения при воздействии факторов микробной природы, содержащихся в пищевых продуктах. Методические основы, принципы и критерии оценки».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</w:r>
    </w:p>
    <w:p>
      <w:pPr>
        <w:spacing w:before="0" w:after="0" w:line="240" w:lineRule="auto"/>
        <w:shd w:val="clear" w:color="auto" w:fill="ffffff"/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-16"/>
          <w:sz w:val="24"/>
          <w:szCs w:val="24"/>
          <w:lang w:eastAsia="ru-RU"/>
        </w:rPr>
        <w:t xml:space="preserve"> МР 3.3.0399-25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 xml:space="preserve">"Контроль за организацией и проведением иммунопрофилактики инфекционных болезней в медицинских организациях".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</w:r>
    </w:p>
    <w:p>
      <w:pPr>
        <w:spacing w:before="0" w:after="0" w:line="240" w:lineRule="auto"/>
        <w:shd w:val="clear" w:color="auto" w:fill="ffffff"/>
      </w:pPr>
      <w:r>
        <w:rPr>
          <w:rFonts w:ascii="Times New Roman" w:hAnsi="Times New Roman" w:eastAsia="Times New Roman" w:cs="Times New Roman"/>
          <w:b/>
          <w:bCs/>
          <w:spacing w:val="-16"/>
          <w:sz w:val="24"/>
          <w:szCs w:val="24"/>
          <w:lang w:eastAsia="ru-RU"/>
        </w:rPr>
        <w:t xml:space="preserve">МР 2.3.0419-26 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 xml:space="preserve">"Контроль за пищевой ценностью готовых блюд и рационов питания в организованных группах населения".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ГН 2.3.3.972-00</w:t>
      </w:r>
      <w:r>
        <w:rPr>
          <w:rFonts w:ascii="Times New Roman" w:hAnsi="Times New Roman" w:cs="Times New Roman"/>
          <w:sz w:val="24"/>
          <w:szCs w:val="24"/>
        </w:rPr>
        <w:t xml:space="preserve"> «Предельно допустимые количества химических веществ, выделяющихся из материалов, контактирующих с пищевыми продуктами»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</w:r>
      <w:r/>
    </w:p>
    <w:p>
      <w:pPr>
        <w:pStyle w:val="829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МР 5.1.0029-11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 xml:space="preserve"> «</w:t>
      </w:r>
      <w:r>
        <w:rPr>
          <w:rFonts w:ascii="Times New Roman" w:hAnsi="Times New Roman" w:cs="Times New Roman"/>
          <w:bCs/>
          <w:sz w:val="24"/>
          <w:szCs w:val="24"/>
        </w:rPr>
        <w:t xml:space="preserve">Методические рекомендации к экономической оценке рисков для здоровья населения при воздействии факторов среды обитания».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br/>
      </w: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МР 2.1.10.0062- 12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 xml:space="preserve">Количественная оценка неканцерогенного риска при воздействии химических веществ на основе построения эволюционных моделей».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br/>
      </w: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МР 2.1.10.0061-12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"Оценка риска для здоровья населения при воздействии переменных электромагнитных полей (до 300 ГГЦ) в условиях населенных мест".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br/>
      </w: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МР 1.2.0038-11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 xml:space="preserve">Оценка риска воздействия наноматериалов и наночастиц на организм человека».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br/>
      </w: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МР ЦОС001-13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"Порядок проведения сертификации организаций в системе добровольной сертификации органов по оценке риска здоровью населения".</w:t>
      </w:r>
      <w:r/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МР 1.2.0016-10 </w:t>
      </w:r>
      <w:r>
        <w:rPr>
          <w:rFonts w:ascii="Times New Roman" w:hAnsi="Times New Roman" w:cs="Times New Roman"/>
          <w:bCs/>
          <w:sz w:val="24"/>
          <w:szCs w:val="24"/>
        </w:rPr>
        <w:t xml:space="preserve">«Методика классифицирования нанотехнологий и продукции наноиндустрии по степени их потенциальной опасности».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МР 1.2.2522-09</w:t>
      </w:r>
      <w:r>
        <w:rPr>
          <w:rFonts w:ascii="Times New Roman" w:hAnsi="Times New Roman" w:cs="Times New Roman"/>
          <w:bCs/>
          <w:sz w:val="24"/>
          <w:szCs w:val="24"/>
        </w:rPr>
        <w:t xml:space="preserve"> «Выявление наноматериалов, представляющих потенциальную опасность для здоровья человека».</w:t>
      </w:r>
      <w:r/>
    </w:p>
    <w:p>
      <w:pPr>
        <w:pStyle w:val="829"/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МР N 01-19/17-17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 xml:space="preserve">Методические рекомендации. Комплексное определение антропотехногенной нагрузки на водные объекты, почву, атмосферный воздух в районах селитебного освоения».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br/>
      </w: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МР 5.1.0030-11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 xml:space="preserve">Методические рекомендации к экономической оценке и обоснованию решений в области управления риском для здоровья населения при воздействии факторов среды обитания».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МР 2.4.5.0128-18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«Организация питания детей при проведении массовых мероприятий»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before="0" w:after="0" w:line="240" w:lineRule="auto"/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МР 4.2.0220-20</w:t>
      </w:r>
      <w:r>
        <w:rPr>
          <w:rFonts w:ascii="Times New Roman" w:hAnsi="Times New Roman" w:cs="Times New Roman"/>
          <w:sz w:val="24"/>
          <w:szCs w:val="24"/>
        </w:rPr>
        <w:t xml:space="preserve"> «Методы контроля. Биологические и микробиологические факторы. Методы санитарно-бактериологического исследования микробной обсемененности объектов внешней среды. Методические рекомендации» на наличие (отсутствие) БГКП.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r>
    </w:p>
    <w:p>
      <w:pPr>
        <w:spacing w:before="0" w:after="0" w:line="240" w:lineRule="auto"/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pacing w:val="-16"/>
          <w:sz w:val="24"/>
          <w:szCs w:val="24"/>
          <w:highlight w:val="none"/>
          <w:lang w:eastAsia="ru-RU"/>
        </w:rPr>
        <w:t xml:space="preserve">МР 2.3.6.0233-21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  <w:t xml:space="preserve"> «Методические рекомендации к организации общественного питания»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r>
    </w:p>
    <w:p>
      <w:pPr>
        <w:spacing w:before="0" w:after="0" w:line="240" w:lineRule="auto"/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pacing w:val="-16"/>
          <w:sz w:val="24"/>
          <w:szCs w:val="24"/>
          <w:highlight w:val="none"/>
          <w:lang w:eastAsia="ru-RU"/>
        </w:rPr>
        <w:t xml:space="preserve">МР 2.6.1.0092-14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  <w:t xml:space="preserve"> «Радиационный контроль и санитарно-эпидемиологическая оценка изделий на основе природных материалов (санитарно-технические изделия, посуда, декоративные и отделочные материалы, изделия художественных промыслов)»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r>
    </w:p>
    <w:p>
      <w:pPr>
        <w:spacing w:before="0" w:after="0" w:line="240" w:lineRule="auto"/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pacing w:val="-16"/>
          <w:sz w:val="24"/>
          <w:szCs w:val="24"/>
          <w:highlight w:val="none"/>
          <w:lang w:eastAsia="ru-RU"/>
        </w:rPr>
        <w:t xml:space="preserve">МР 2.6.1.0094-14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  <w:t xml:space="preserve"> «Радиохимическое определение удельной активности цезия137 и стронция 90 в пробах пищевой продукции, почвы, других объектов окружающей среды и биопробах».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r>
    </w:p>
    <w:p>
      <w:pPr>
        <w:spacing w:before="0" w:after="0" w:line="240" w:lineRule="auto"/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pacing w:val="-16"/>
          <w:sz w:val="24"/>
          <w:szCs w:val="24"/>
          <w:highlight w:val="none"/>
          <w:lang w:eastAsia="ru-RU"/>
        </w:rPr>
        <w:t xml:space="preserve">МР 2.3.0122-18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  <w:t xml:space="preserve"> «Цветовая индикация на маркировке пищевой продукции в целях информирования потребителей»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r>
    </w:p>
    <w:p>
      <w:pPr>
        <w:spacing w:before="0" w:after="0" w:line="240" w:lineRule="auto"/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pacing w:val="-16"/>
          <w:sz w:val="24"/>
          <w:szCs w:val="24"/>
          <w:highlight w:val="none"/>
          <w:lang w:eastAsia="ru-RU"/>
        </w:rPr>
        <w:t xml:space="preserve">МР 1.2.0134-18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  <w:t xml:space="preserve">  «Порядок отбора образцов (проб) игрушек и продукции, предназначенной для детей и подростков, организации их испытаний (исследований) и оценки, представления данных в целях обеспечения государственного надзора в области обеспечения безопасности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  <w:t xml:space="preserve"> непищевой продукции»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r>
    </w:p>
    <w:p>
      <w:pPr>
        <w:spacing w:before="0" w:after="0" w:line="240" w:lineRule="auto"/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pacing w:val="-16"/>
          <w:sz w:val="24"/>
          <w:szCs w:val="24"/>
          <w:highlight w:val="none"/>
          <w:lang w:eastAsia="ru-RU"/>
        </w:rPr>
        <w:t xml:space="preserve">МР 3.5.2.0110-16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  <w:t xml:space="preserve"> «Организация и проведение мероприятий по энтомологическому мониторингу и регуляции численности кровососущих комаров Aedesaegypti и Aedesalbopictus»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r>
    </w:p>
    <w:p>
      <w:pPr>
        <w:spacing w:before="0" w:after="0" w:line="240" w:lineRule="auto"/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pacing w:val="-16"/>
          <w:sz w:val="24"/>
          <w:szCs w:val="24"/>
          <w:highlight w:val="none"/>
          <w:lang w:eastAsia="ru-RU"/>
        </w:rPr>
        <w:t xml:space="preserve">МР 4.3.0117-20 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highlight w:val="none"/>
          <w:lang w:eastAsia="ru-RU"/>
        </w:rPr>
        <w:t xml:space="preserve">«Методика измерения электромагнитных полей промышленной частоты 50Гц на селитебной территории»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</w:r>
    </w:p>
    <w:p>
      <w:pPr>
        <w:pStyle w:val="829"/>
        <w:spacing w:before="0" w:after="0" w:line="240" w:lineRule="auto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 2.2.4/2.2.9.2266-07</w:t>
      </w:r>
      <w:r>
        <w:rPr>
          <w:rFonts w:ascii="Times New Roman" w:hAnsi="Times New Roman" w:cs="Times New Roman"/>
          <w:bCs/>
          <w:sz w:val="24"/>
          <w:szCs w:val="24"/>
        </w:rPr>
        <w:t xml:space="preserve"> «Гигиенические требования к условиям труда медицинских работников, выполняющих ультразвуковые исследования».</w:t>
      </w:r>
      <w:r/>
    </w:p>
    <w:p>
      <w:pPr>
        <w:pStyle w:val="829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РД 52.04.186.89</w:t>
      </w:r>
      <w:r>
        <w:rPr>
          <w:rFonts w:ascii="Times New Roman" w:hAnsi="Times New Roman" w:cs="Times New Roman"/>
          <w:sz w:val="24"/>
          <w:szCs w:val="24"/>
        </w:rPr>
        <w:t xml:space="preserve"> «Руководство по контролю загрязнения атмосферы».</w:t>
      </w:r>
      <w:r/>
    </w:p>
    <w:p>
      <w:pPr>
        <w:pStyle w:val="829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Р 2.2.3969-23 </w:t>
      </w:r>
      <w:r>
        <w:rPr>
          <w:rFonts w:ascii="Times New Roman" w:hAnsi="Times New Roman" w:eastAsia="Times New Roman" w:cs="Times New Roman"/>
          <w:b w:val="0"/>
          <w:bCs w:val="0"/>
          <w:spacing w:val="-16"/>
          <w:sz w:val="24"/>
          <w:szCs w:val="24"/>
          <w:lang w:eastAsia="ru-RU"/>
        </w:rPr>
        <w:t xml:space="preserve">"Руководство по оценке профессионального риска для здоровья работников. Организационно-методические основы, принципы и критерии оценки"</w:t>
      </w:r>
      <w:r>
        <w:rPr>
          <w:rFonts w:ascii="Times New Roman" w:hAnsi="Times New Roman" w:eastAsia="Times New Roman" w:cs="Times New Roman"/>
          <w:b w:val="0"/>
          <w:bCs w:val="0"/>
          <w:spacing w:val="-16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</w:r>
      <w:r/>
    </w:p>
    <w:p>
      <w:pPr>
        <w:pStyle w:val="829"/>
        <w:spacing w:before="0" w:after="0" w:line="240" w:lineRule="auto"/>
        <w:shd w:val="clear" w:color="auto" w:fill="ffffff"/>
      </w:pP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Р 2.2.2006-05</w:t>
      </w:r>
      <w:r>
        <w:rPr>
          <w:rFonts w:ascii="Times New Roman" w:hAnsi="Times New Roman" w:cs="Times New Roman"/>
          <w:sz w:val="24"/>
          <w:szCs w:val="24"/>
        </w:rPr>
        <w:t xml:space="preserve"> "Руководство по гигиенической оценке факторов рабочей среды и трудового процесса. Критерии и классификация условий труда". </w:t>
      </w:r>
      <w:r/>
    </w:p>
    <w:p>
      <w:pPr>
        <w:pStyle w:val="829"/>
        <w:spacing w:before="0" w:after="0" w:line="240" w:lineRule="auto"/>
        <w:shd w:val="clear" w:color="auto" w:fill="ffffff"/>
        <w:rPr>
          <w:b w:val="0"/>
          <w:bCs w:val="0"/>
        </w:rPr>
      </w:pP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Р 2.1.10.3968-23 </w:t>
      </w:r>
      <w:r>
        <w:rPr>
          <w:rFonts w:ascii="Times New Roman" w:hAnsi="Times New Roman" w:eastAsia="Times New Roman" w:cs="Times New Roman"/>
          <w:b w:val="0"/>
          <w:bCs w:val="0"/>
          <w:spacing w:val="-16"/>
          <w:sz w:val="24"/>
          <w:szCs w:val="24"/>
          <w:lang w:eastAsia="ru-RU"/>
        </w:rPr>
        <w:t xml:space="preserve">"Руководство по оценке риска здоровью населения при воздействии химических веществ, загрязняющих среду обитания"</w:t>
      </w:r>
      <w:r>
        <w:rPr>
          <w:rFonts w:ascii="Times New Roman" w:hAnsi="Times New Roman" w:eastAsia="Times New Roman" w:cs="Times New Roman"/>
          <w:b w:val="0"/>
          <w:bCs w:val="0"/>
          <w:spacing w:val="-16"/>
          <w:sz w:val="24"/>
          <w:szCs w:val="24"/>
          <w:lang w:eastAsia="ru-RU"/>
        </w:rPr>
        <w:t xml:space="preserve">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829"/>
        <w:spacing w:before="0" w:after="0" w:line="240" w:lineRule="auto"/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  <w:t xml:space="preserve">Приказ от 06.06.2017 № 273 </w:t>
      </w:r>
      <w:r>
        <w:rPr>
          <w:rFonts w:ascii="Times New Roman" w:hAnsi="Times New Roman" w:eastAsia="Times New Roman" w:cs="Times New Roman"/>
          <w:bCs/>
          <w:spacing w:val="-16"/>
          <w:sz w:val="24"/>
          <w:szCs w:val="24"/>
          <w:lang w:eastAsia="ru-RU"/>
        </w:rPr>
        <w:t xml:space="preserve">«Об утверждении методов расчетов рассеивания выбросов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вредных (загрязняющих) веществ в атмосферном воздухе».</w:t>
      </w: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</w:r>
      <w:hyperlink r:id="rId16" w:tooltip="http://docs.cntd.ru/document/gost-17-2-3-01-86" w:history="1">
        <w:r>
          <w:rPr>
            <w:rStyle w:val="836"/>
            <w:rFonts w:ascii="Times New Roman" w:hAnsi="Times New Roman" w:cs="Times New Roman"/>
            <w:sz w:val="24"/>
            <w:szCs w:val="24"/>
          </w:rPr>
          <w:br/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ГОСТ Р ИСО МЭК 17020-2012</w:t>
      </w:r>
      <w:r>
        <w:rPr>
          <w:rFonts w:ascii="Times New Roman" w:hAnsi="Times New Roman" w:eastAsia="Times New Roman" w:cs="Times New Roman"/>
          <w:spacing w:val="-16"/>
          <w:sz w:val="24"/>
          <w:szCs w:val="24"/>
          <w:lang w:eastAsia="ru-RU"/>
        </w:rPr>
        <w:t xml:space="preserve"> «Оценка соответствия. Требования к работе различных типов органов инспекции».</w:t>
        <w:br/>
      </w: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pacing w:val="-16"/>
          <w:sz w:val="24"/>
          <w:szCs w:val="24"/>
          <w:lang w:eastAsia="ru-RU"/>
        </w:rPr>
      </w:r>
    </w:p>
    <w:p>
      <w:pPr>
        <w:pStyle w:val="852"/>
        <w:contextualSpacing/>
        <w:ind w:left="0" w:right="0"/>
        <w:spacing w:before="0"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</w:r>
      <w:r>
        <w:rPr>
          <w:rFonts w:ascii="Times New Roman" w:hAnsi="Times New Roman" w:cs="Times New Roman"/>
          <w:b/>
          <w:color w:val="ff0000"/>
          <w:sz w:val="24"/>
          <w:szCs w:val="24"/>
        </w:rPr>
      </w:r>
      <w:r>
        <w:rPr>
          <w:rFonts w:ascii="Times New Roman" w:hAnsi="Times New Roman" w:cs="Times New Roman"/>
          <w:b/>
          <w:color w:val="ff0000"/>
          <w:sz w:val="24"/>
          <w:szCs w:val="24"/>
        </w:rPr>
      </w:r>
    </w:p>
    <w:p>
      <w:pPr>
        <w:pStyle w:val="829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«Аттестат аккредитации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 xml:space="preserve">RA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.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 xml:space="preserve">RU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.710035 от «24» апреля 2015 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Аттестат аккредитации является бессрочным.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Style w:val="829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Style w:val="829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9"/>
        <w:jc w:val="center"/>
        <w:spacing w:before="0" w:after="2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ourier New">
    <w:panose1 w:val="02070409020205020404"/>
  </w:font>
  <w:font w:name="Cambria">
    <w:panose1 w:val="02040503050406030204"/>
  </w:font>
  <w:font w:name="Calibri">
    <w:panose1 w:val="020F0502020204030204"/>
  </w:font>
  <w:font w:name="Liberation Sans">
    <w:panose1 w:val="020B0604020202020204"/>
  </w:font>
  <w:font w:name="DejaVu Sans">
    <w:panose1 w:val="020B0603030804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pStyle w:val="830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pStyle w:val="831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7">
    <w:name w:val="Heading 1 Char"/>
    <w:link w:val="83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58">
    <w:name w:val="Heading 2 Char"/>
    <w:link w:val="831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29"/>
    <w:next w:val="829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29"/>
    <w:next w:val="829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29"/>
    <w:next w:val="829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29"/>
    <w:next w:val="829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29"/>
    <w:next w:val="829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29"/>
    <w:next w:val="829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29"/>
    <w:next w:val="829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List Paragraph"/>
    <w:basedOn w:val="829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29"/>
    <w:next w:val="829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link w:val="675"/>
    <w:uiPriority w:val="10"/>
    <w:rPr>
      <w:sz w:val="48"/>
      <w:szCs w:val="48"/>
    </w:rPr>
  </w:style>
  <w:style w:type="paragraph" w:styleId="677">
    <w:name w:val="Subtitle"/>
    <w:basedOn w:val="829"/>
    <w:next w:val="829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link w:val="677"/>
    <w:uiPriority w:val="11"/>
    <w:rPr>
      <w:sz w:val="24"/>
      <w:szCs w:val="24"/>
    </w:rPr>
  </w:style>
  <w:style w:type="paragraph" w:styleId="679">
    <w:name w:val="Quote"/>
    <w:basedOn w:val="829"/>
    <w:next w:val="829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29"/>
    <w:next w:val="829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character" w:styleId="683">
    <w:name w:val="Header Char"/>
    <w:link w:val="850"/>
    <w:uiPriority w:val="99"/>
  </w:style>
  <w:style w:type="character" w:styleId="684">
    <w:name w:val="Footer Char"/>
    <w:link w:val="851"/>
    <w:uiPriority w:val="99"/>
  </w:style>
  <w:style w:type="character" w:styleId="685">
    <w:name w:val="Caption Char"/>
    <w:link w:val="847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1ebe03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43c0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3fdba" w:themeFill="accent1" w:themeFillTint="34"/>
    </w:tblPr>
    <w:tblStylePr w:type="band1Horz">
      <w:tcPr>
        <w:shd w:val="clear" w:color="ffffff" w:themeColor="accent1" w:themeTint="75" w:fill="79fb64" w:themeFill="accent1" w:themeFillTint="75"/>
      </w:tcPr>
    </w:tblStylePr>
    <w:tblStylePr w:type="band1Vert">
      <w:tcPr>
        <w:shd w:val="clear" w:color="ffffff" w:themeColor="accent1" w:themeTint="75" w:fill="79fb64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bce7fd" w:themeFill="accent2" w:themeFillTint="32"/>
    </w:tblPr>
    <w:tblStylePr w:type="band1Horz">
      <w:tcPr>
        <w:shd w:val="clear" w:color="ffffff" w:themeColor="accent2" w:themeTint="75" w:fill="64c8fb" w:themeFill="accent2" w:themeFillTint="75"/>
      </w:tcPr>
    </w:tblStylePr>
    <w:tblStylePr w:type="band1Vert">
      <w:tcPr>
        <w:shd w:val="clear" w:color="ffffff" w:themeColor="accent2" w:themeTint="75" w:fill="64c8fb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0369a3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dd2ba" w:themeFill="accent3" w:themeFillTint="34"/>
    </w:tblPr>
    <w:tblStylePr w:type="band1Horz">
      <w:tcPr>
        <w:shd w:val="clear" w:color="ffffff" w:themeColor="accent3" w:themeTint="75" w:fill="fb9964" w:themeFill="accent3" w:themeFillTint="75"/>
      </w:tcPr>
    </w:tblStylePr>
    <w:tblStylePr w:type="band1Vert">
      <w:tcPr>
        <w:shd w:val="clear" w:color="ffffff" w:themeColor="accent3" w:themeTint="75" w:fill="fb9964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33e03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3bafd" w:themeFill="accent4" w:themeFillTint="34"/>
    </w:tblPr>
    <w:tblStylePr w:type="band1Horz">
      <w:tcPr>
        <w:shd w:val="clear" w:color="ffffff" w:themeColor="accent4" w:themeTint="75" w:fill="e464fb" w:themeFill="accent4" w:themeFillTint="75"/>
      </w:tcPr>
    </w:tblStylePr>
    <w:tblStylePr w:type="band1Vert">
      <w:tcPr>
        <w:shd w:val="clear" w:color="ffffff" w:themeColor="accent4" w:themeTint="75" w:fill="e464fb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e03a3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fefbf" w:themeFill="accent5" w:themeFillTint="34"/>
    </w:tblPr>
    <w:tblStylePr w:type="band1Horz">
      <w:tcPr>
        <w:shd w:val="clear" w:color="ffffff" w:themeColor="accent5" w:themeTint="75" w:fill="ffdb71" w:themeFill="accent5" w:themeFillTint="75"/>
      </w:tcPr>
    </w:tblStylePr>
    <w:tblStylePr w:type="band1Vert">
      <w:tcPr>
        <w:shd w:val="clear" w:color="ffffff" w:themeColor="accent5" w:themeTint="75" w:fill="ffdb71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7cccc" w:themeFill="accent6" w:themeFillTint="34"/>
    </w:tblPr>
    <w:tblStylePr w:type="band1Horz">
      <w:tcPr>
        <w:shd w:val="clear" w:color="ffffff" w:themeColor="accent6" w:themeTint="75" w:fill="ee8f8f" w:themeFill="accent6" w:themeFillTint="75"/>
      </w:tcPr>
    </w:tblStylePr>
    <w:tblStylePr w:type="band1Vert">
      <w:tcPr>
        <w:shd w:val="clear" w:color="ffffff" w:themeColor="accent6" w:themeTint="75" w:fill="ee8f8f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2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1ebf04" w:themeColor="accent1" w:themeTint="80" w:themeShade="95"/>
      </w:rPr>
    </w:tblStylePr>
    <w:tblStylePr w:type="firstRow">
      <w:rPr>
        <w:b/>
        <w:color w:val="1ebf0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ebf04" w:themeColor="accent1" w:themeTint="80" w:themeShade="95"/>
      </w:rPr>
    </w:tblStylePr>
    <w:tblStylePr w:type="lastRow">
      <w:rPr>
        <w:b/>
        <w:color w:val="1ebf04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e2201" w:themeColor="accent3" w:themeTint="FE" w:themeShade="95"/>
      </w:rPr>
    </w:tblStylePr>
    <w:tblStylePr w:type="firstRow">
      <w:rPr>
        <w:b/>
        <w:color w:val="5e2201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e2201" w:themeColor="accent3" w:themeTint="FE" w:themeShade="95"/>
      </w:rPr>
    </w:tblStylePr>
    <w:tblStylePr w:type="lastRow">
      <w:rPr>
        <w:b/>
        <w:color w:val="5e2201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1ebf04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Liberation Sans" w:hAnsi="Liberation Sans"/>
        <w:color w:val="1ebf04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1ebf04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1ebf04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0378ae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Liberation Sans" w:hAnsi="Liberation Sans"/>
        <w:color w:val="0378ae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0378ae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0378ae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e2201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Liberation Sans" w:hAnsi="Liberation Sans"/>
        <w:color w:val="5e2201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e2201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e2201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9104ab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Liberation Sans" w:hAnsi="Liberation Sans"/>
        <w:color w:val="9104ab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9104ab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104ab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74570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Liberation Sans" w:hAnsi="Liberation Sans"/>
        <w:color w:val="745700" w:themeColor="accent5" w:themeShade="95"/>
        <w:sz w:val="22"/>
      </w:rPr>
    </w:tblStylePr>
    <w:tblStylePr w:type="firstCol">
      <w:rPr>
        <w:rFonts w:ascii="Liberation Sans" w:hAnsi="Liberation Sans"/>
        <w:i/>
        <w:color w:val="745700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45700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741111" w:themeColor="accent6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Liberation Sans" w:hAnsi="Liberation Sans"/>
        <w:color w:val="741111" w:themeColor="accent6" w:themeShade="95"/>
        <w:sz w:val="22"/>
      </w:rPr>
    </w:tblStylePr>
    <w:tblStylePr w:type="firstCol">
      <w:rPr>
        <w:rFonts w:ascii="Liberation Sans" w:hAnsi="Liberation Sans"/>
        <w:i/>
        <w:color w:val="741111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41111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fa7a35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ffd042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e96e6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8a303" w:themeFill="accent1"/>
    </w:tblPr>
    <w:tblStylePr w:type="band1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8a303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18a303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36b8fb" w:themeFill="accent2" w:themeFillTint="97"/>
    </w:tblPr>
    <w:tblStylePr w:type="band1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36b8fb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fa7a35" w:themeFill="accent3" w:themeFillTint="98"/>
    </w:tblPr>
    <w:tblStylePr w:type="band1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fa7a35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fa7a35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dc33fa" w:themeFill="accent4" w:themeFillTint="9A"/>
    </w:tblPr>
    <w:tblStylePr w:type="band1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dc33fa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ffd042" w:themeFill="accent5" w:themeFillTint="9A"/>
    </w:tblPr>
    <w:tblStylePr w:type="band1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ffd042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ffd042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e96e6e" w:themeFill="accent6" w:themeFillTint="98"/>
    </w:tblPr>
    <w:tblStylePr w:type="band1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e96e6e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e96e6e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0e5e01" w:themeColor="accent1" w:themeShade="95"/>
      </w:rPr>
    </w:tblStylePr>
    <w:tblStylePr w:type="firstRow">
      <w:rPr>
        <w:b/>
        <w:color w:val="0e5e0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e5e01" w:themeColor="accent1" w:themeShade="95"/>
      </w:rPr>
    </w:tblStylePr>
    <w:tblStylePr w:type="lastRow">
      <w:rPr>
        <w:b/>
        <w:color w:val="0e5e0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ab3b04" w:themeColor="accent3" w:themeTint="98" w:themeShade="95"/>
      </w:rPr>
    </w:tblStylePr>
    <w:tblStylePr w:type="firstRow">
      <w:rPr>
        <w:b/>
        <w:color w:val="ab3b04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ab3b04" w:themeColor="accent3" w:themeTint="98" w:themeShade="95"/>
      </w:rPr>
    </w:tblStylePr>
    <w:tblStylePr w:type="lastRow">
      <w:rPr>
        <w:b/>
        <w:color w:val="ab3b04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ba8700" w:themeColor="accent5" w:themeTint="9A" w:themeShade="95"/>
      </w:rPr>
    </w:tblStylePr>
    <w:tblStylePr w:type="firstRow">
      <w:rPr>
        <w:b/>
        <w:color w:val="ba870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ba8700" w:themeColor="accent5" w:themeTint="9A" w:themeShade="95"/>
      </w:rPr>
    </w:tblStylePr>
    <w:tblStylePr w:type="lastRow">
      <w:rPr>
        <w:b/>
        <w:color w:val="ba870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ad1a1a" w:themeColor="accent6" w:themeTint="98" w:themeShade="95"/>
      </w:rPr>
    </w:tblStylePr>
    <w:tblStylePr w:type="firstRow">
      <w:rPr>
        <w:b/>
        <w:color w:val="ad1a1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ad1a1a" w:themeColor="accent6" w:themeTint="98" w:themeShade="95"/>
      </w:rPr>
    </w:tblStylePr>
    <w:tblStylePr w:type="lastRow">
      <w:rPr>
        <w:b/>
        <w:color w:val="ad1a1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0e5e01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Liberation Sans" w:hAnsi="Liberation Sans"/>
        <w:color w:val="0e5e01" w:themeColor="accent1" w:themeShade="95"/>
        <w:sz w:val="22"/>
      </w:rPr>
    </w:tblStylePr>
    <w:tblStylePr w:type="firstCol">
      <w:rPr>
        <w:rFonts w:ascii="Liberation Sans" w:hAnsi="Liberation Sans"/>
        <w:i/>
        <w:color w:val="0e5e0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0e5e0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0e5e01" w:themeColor="accent1" w:themeShade="95"/>
        <w:sz w:val="22"/>
      </w:rPr>
    </w:tblStylePr>
  </w:style>
  <w:style w:type="table" w:styleId="78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0378ae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Liberation Sans" w:hAnsi="Liberation Sans"/>
        <w:color w:val="0378ae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0378ae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0378ae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0378ae" w:themeColor="accent2" w:themeTint="97" w:themeShade="95"/>
        <w:sz w:val="22"/>
      </w:rPr>
    </w:tblStylePr>
  </w:style>
  <w:style w:type="table" w:styleId="78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ab3b04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Liberation Sans" w:hAnsi="Liberation Sans"/>
        <w:color w:val="ab3b04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ab3b04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b3b04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ab3b04" w:themeColor="accent3" w:themeTint="98" w:themeShade="95"/>
        <w:sz w:val="22"/>
      </w:rPr>
    </w:tblStylePr>
  </w:style>
  <w:style w:type="table" w:styleId="78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9104ab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Liberation Sans" w:hAnsi="Liberation Sans"/>
        <w:color w:val="9104ab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9104ab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104ab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104ab" w:themeColor="accent4" w:themeTint="9A" w:themeShade="95"/>
        <w:sz w:val="22"/>
      </w:rPr>
    </w:tblStylePr>
  </w:style>
  <w:style w:type="table" w:styleId="78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ba870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Liberation Sans" w:hAnsi="Liberation Sans"/>
        <w:color w:val="ba870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ba870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a870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ba8700" w:themeColor="accent5" w:themeTint="9A" w:themeShade="95"/>
        <w:sz w:val="22"/>
      </w:rPr>
    </w:tblStylePr>
  </w:style>
  <w:style w:type="table" w:styleId="79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ad1a1a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Liberation Sans" w:hAnsi="Liberation Sans"/>
        <w:color w:val="ad1a1a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d1a1a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d1a1a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ad1a1a" w:themeColor="accent6" w:themeTint="98" w:themeShade="95"/>
        <w:sz w:val="22"/>
      </w:rPr>
    </w:tblStylePr>
  </w:style>
  <w:style w:type="table" w:styleId="79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79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79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79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79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79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79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80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80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80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80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80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80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  <w:pPr>
      <w:spacing w:before="0" w:after="200" w:line="276" w:lineRule="auto"/>
      <w:widowControl/>
    </w:pPr>
    <w:rPr>
      <w:rFonts w:ascii="Calibri" w:hAnsi="Calibri" w:eastAsia="Calibri" w:cs="Times New Roman"/>
      <w:color w:val="auto"/>
      <w:sz w:val="22"/>
      <w:szCs w:val="22"/>
      <w:lang w:val="ru-RU" w:eastAsia="zh-CN" w:bidi="ar-SA"/>
    </w:rPr>
  </w:style>
  <w:style w:type="paragraph" w:styleId="830">
    <w:name w:val="Heading 1"/>
    <w:basedOn w:val="829"/>
    <w:next w:val="845"/>
    <w:qFormat/>
    <w:pPr>
      <w:numPr>
        <w:ilvl w:val="0"/>
        <w:numId w:val="1"/>
      </w:numPr>
      <w:spacing w:before="280" w:after="280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val="en-US"/>
    </w:rPr>
  </w:style>
  <w:style w:type="paragraph" w:styleId="831">
    <w:name w:val="Heading 2"/>
    <w:basedOn w:val="829"/>
    <w:next w:val="829"/>
    <w:qFormat/>
    <w:pPr>
      <w:numPr>
        <w:ilvl w:val="1"/>
        <w:numId w:val="1"/>
      </w:numPr>
      <w:keepLines/>
      <w:keepNext/>
      <w:spacing w:before="200" w:after="0"/>
      <w:outlineLvl w:val="1"/>
    </w:pPr>
    <w:rPr>
      <w:rFonts w:ascii="Cambria" w:hAnsi="Cambria" w:eastAsia="Times New Roman" w:cs="Cambria"/>
      <w:b/>
      <w:bCs/>
      <w:color w:val="4f81bd"/>
      <w:sz w:val="26"/>
      <w:szCs w:val="26"/>
      <w:lang w:val="en-US"/>
    </w:rPr>
  </w:style>
  <w:style w:type="character" w:styleId="832">
    <w:name w:val="Основной шрифт абзаца"/>
    <w:qFormat/>
  </w:style>
  <w:style w:type="character" w:styleId="833">
    <w:name w:val="Верхний колонтитул Знак"/>
    <w:basedOn w:val="832"/>
    <w:qFormat/>
  </w:style>
  <w:style w:type="character" w:styleId="834">
    <w:name w:val="Нижний колонтитул Знак"/>
    <w:basedOn w:val="832"/>
    <w:qFormat/>
  </w:style>
  <w:style w:type="character" w:styleId="835">
    <w:name w:val="Заголовок 1 Знак"/>
    <w:qFormat/>
    <w:rPr>
      <w:rFonts w:ascii="Times New Roman" w:hAnsi="Times New Roman" w:eastAsia="Times New Roman" w:cs="Times New Roman"/>
      <w:b/>
      <w:bCs/>
      <w:sz w:val="48"/>
      <w:szCs w:val="48"/>
    </w:rPr>
  </w:style>
  <w:style w:type="character" w:styleId="836">
    <w:name w:val="Hyperlink"/>
    <w:rPr>
      <w:color w:val="0000ff"/>
      <w:u w:val="single"/>
    </w:rPr>
  </w:style>
  <w:style w:type="character" w:styleId="837">
    <w:name w:val="blk"/>
    <w:basedOn w:val="832"/>
    <w:qFormat/>
  </w:style>
  <w:style w:type="character" w:styleId="838">
    <w:name w:val="Стандартный HTML Знак"/>
    <w:qFormat/>
    <w:rPr>
      <w:rFonts w:ascii="Courier New" w:hAnsi="Courier New" w:eastAsia="Times New Roman" w:cs="Courier New"/>
      <w:sz w:val="20"/>
      <w:szCs w:val="20"/>
    </w:rPr>
  </w:style>
  <w:style w:type="character" w:styleId="839">
    <w:name w:val="Заголовок 2 Знак"/>
    <w:qFormat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840">
    <w:name w:val="docaccess_title"/>
    <w:basedOn w:val="832"/>
    <w:qFormat/>
  </w:style>
  <w:style w:type="character" w:styleId="841">
    <w:name w:val="Emphasis"/>
    <w:qFormat/>
    <w:rPr>
      <w:i/>
      <w:iCs/>
    </w:rPr>
  </w:style>
  <w:style w:type="character" w:styleId="842">
    <w:name w:val="FollowedHyperlink"/>
    <w:rPr>
      <w:color w:val="954f72"/>
      <w:u w:val="single"/>
    </w:rPr>
  </w:style>
  <w:style w:type="character" w:styleId="843">
    <w:name w:val="WW8Num2z3"/>
    <w:qFormat/>
  </w:style>
  <w:style w:type="paragraph" w:styleId="844">
    <w:name w:val="Heading"/>
    <w:basedOn w:val="829"/>
    <w:next w:val="845"/>
    <w:qFormat/>
    <w:pPr>
      <w:keepNext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845">
    <w:name w:val="Body Text"/>
    <w:basedOn w:val="829"/>
    <w:pPr>
      <w:spacing w:before="0" w:after="140" w:line="276" w:lineRule="auto"/>
    </w:pPr>
  </w:style>
  <w:style w:type="paragraph" w:styleId="846">
    <w:name w:val="List"/>
    <w:basedOn w:val="845"/>
  </w:style>
  <w:style w:type="paragraph" w:styleId="847">
    <w:name w:val="Caption"/>
    <w:basedOn w:val="829"/>
    <w:link w:val="685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848">
    <w:name w:val="Index"/>
    <w:basedOn w:val="829"/>
    <w:qFormat/>
    <w:pPr>
      <w:suppressLineNumbers/>
    </w:pPr>
  </w:style>
  <w:style w:type="paragraph" w:styleId="849">
    <w:name w:val="Header and Footer"/>
    <w:basedOn w:val="829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850">
    <w:name w:val="Header"/>
    <w:basedOn w:val="829"/>
    <w:pPr>
      <w:spacing w:before="0" w:after="0" w:line="240" w:lineRule="auto"/>
    </w:pPr>
  </w:style>
  <w:style w:type="paragraph" w:styleId="851">
    <w:name w:val="Footer"/>
    <w:basedOn w:val="829"/>
    <w:pPr>
      <w:spacing w:before="0" w:after="0" w:line="240" w:lineRule="auto"/>
    </w:pPr>
  </w:style>
  <w:style w:type="paragraph" w:styleId="852">
    <w:name w:val="Абзац списка"/>
    <w:basedOn w:val="829"/>
    <w:qFormat/>
    <w:pPr>
      <w:contextualSpacing/>
      <w:ind w:left="720" w:right="0" w:firstLine="0"/>
      <w:spacing w:before="0" w:after="200"/>
    </w:pPr>
    <w:rPr>
      <w:rFonts w:ascii="Calibri" w:hAnsi="Calibri" w:eastAsia="Calibri" w:cs="Times New Roman"/>
    </w:rPr>
  </w:style>
  <w:style w:type="paragraph" w:styleId="853">
    <w:name w:val="Стандартный HTML"/>
    <w:basedOn w:val="829"/>
    <w:qFormat/>
    <w:pPr>
      <w:spacing w:before="0" w:after="0" w:line="240" w:lineRule="auto"/>
    </w:pPr>
    <w:rPr>
      <w:rFonts w:ascii="Courier New" w:hAnsi="Courier New" w:eastAsia="Times New Roman" w:cs="Courier New"/>
      <w:sz w:val="20"/>
      <w:szCs w:val="20"/>
      <w:lang w:val="en-US"/>
    </w:rPr>
  </w:style>
  <w:style w:type="paragraph" w:styleId="854">
    <w:name w:val="Без интервала"/>
    <w:qFormat/>
    <w:pPr>
      <w:widowControl/>
    </w:pPr>
    <w:rPr>
      <w:rFonts w:ascii="Calibri" w:hAnsi="Calibri" w:eastAsia="Calibri" w:cs="Times New Roman"/>
      <w:color w:val="auto"/>
      <w:sz w:val="22"/>
      <w:szCs w:val="22"/>
      <w:lang w:val="ru-RU" w:eastAsia="zh-CN" w:bidi="ar-SA"/>
    </w:rPr>
  </w:style>
  <w:style w:type="character" w:styleId="855" w:default="1">
    <w:name w:val="Default Paragraph Font"/>
    <w:uiPriority w:val="1"/>
    <w:semiHidden/>
    <w:unhideWhenUsed/>
  </w:style>
  <w:style w:type="numbering" w:styleId="856" w:default="1">
    <w:name w:val="No List"/>
    <w:uiPriority w:val="99"/>
    <w:semiHidden/>
    <w:unhideWhenUsed/>
  </w:style>
  <w:style w:type="table" w:styleId="85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docs.cntd.ru/document/499057884" TargetMode="External"/><Relationship Id="rId10" Type="http://schemas.openxmlformats.org/officeDocument/2006/relationships/hyperlink" Target="http://docs.cntd.ru/document/902036997" TargetMode="External"/><Relationship Id="rId11" Type="http://schemas.openxmlformats.org/officeDocument/2006/relationships/hyperlink" Target="http://docs.cntd.ru/document/902290619" TargetMode="External"/><Relationship Id="rId12" Type="http://schemas.openxmlformats.org/officeDocument/2006/relationships/hyperlink" Target="http://docs.cntd.ru/document/902060223" TargetMode="External"/><Relationship Id="rId13" Type="http://schemas.openxmlformats.org/officeDocument/2006/relationships/hyperlink" Target="http://docs.cntd.ru/document/902078127" TargetMode="External"/><Relationship Id="rId14" Type="http://schemas.openxmlformats.org/officeDocument/2006/relationships/hyperlink" Target="http://docs.cntd.ru/document/1200076519" TargetMode="External"/><Relationship Id="rId15" Type="http://schemas.openxmlformats.org/officeDocument/2006/relationships/hyperlink" Target="http://docs.cntd.ru/document/1200095241" TargetMode="External"/><Relationship Id="rId16" Type="http://schemas.openxmlformats.org/officeDocument/2006/relationships/hyperlink" Target="http://docs.cntd.ru/document/gost-17-2-3-01-8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IvanovaAN</dc:creator>
  <cp:keywords/>
  <dc:description/>
  <dc:language>en-US</dc:language>
  <cp:lastModifiedBy>sangig_24</cp:lastModifiedBy>
  <cp:revision>32</cp:revision>
  <dcterms:created xsi:type="dcterms:W3CDTF">2020-02-04T07:38:00Z</dcterms:created>
  <dcterms:modified xsi:type="dcterms:W3CDTF">2026-09-28T08:39:57Z</dcterms:modified>
</cp:coreProperties>
</file>